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Отчет о результатах</w:t>
      </w:r>
    </w:p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оценки эффективности налоговых расходов муниципального образования</w:t>
      </w:r>
    </w:p>
    <w:p w:rsidR="000155BB" w:rsidRDefault="000155BB" w:rsidP="000155BB">
      <w:pPr>
        <w:pStyle w:val="20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Советского городского округа Ставропольского края (далее – СГО СК)</w:t>
      </w:r>
    </w:p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за 20</w:t>
      </w:r>
      <w:r w:rsidR="00841958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</w:t>
      </w:r>
    </w:p>
    <w:p w:rsidR="000155BB" w:rsidRDefault="005F3F7B" w:rsidP="000155BB">
      <w:pPr>
        <w:pStyle w:val="20"/>
        <w:shd w:val="clear" w:color="auto" w:fill="auto"/>
        <w:spacing w:after="296"/>
        <w:jc w:val="right"/>
        <w:rPr>
          <w:color w:val="000000"/>
          <w:lang w:eastAsia="ru-RU" w:bidi="ru-RU"/>
        </w:rPr>
      </w:pPr>
      <w:r w:rsidRPr="005F3F7B">
        <w:rPr>
          <w:color w:val="000000"/>
          <w:lang w:eastAsia="ru-RU" w:bidi="ru-RU"/>
        </w:rPr>
        <w:t>30</w:t>
      </w:r>
      <w:r w:rsidR="000155BB" w:rsidRPr="005F3F7B">
        <w:rPr>
          <w:color w:val="000000"/>
          <w:lang w:eastAsia="ru-RU" w:bidi="ru-RU"/>
        </w:rPr>
        <w:t>.07.202</w:t>
      </w:r>
      <w:r w:rsidR="00841958" w:rsidRPr="005F3F7B">
        <w:rPr>
          <w:color w:val="000000"/>
          <w:lang w:eastAsia="ru-RU" w:bidi="ru-RU"/>
        </w:rPr>
        <w:t>1</w:t>
      </w:r>
      <w:r w:rsidR="000155BB" w:rsidRPr="005F3F7B">
        <w:rPr>
          <w:color w:val="000000"/>
          <w:lang w:eastAsia="ru-RU" w:bidi="ru-RU"/>
        </w:rPr>
        <w:t>г.</w:t>
      </w:r>
    </w:p>
    <w:p w:rsidR="00273C22" w:rsidRDefault="00273C22" w:rsidP="00273C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Оценка эффективности налоговых расходов за 20</w:t>
      </w:r>
      <w:r w:rsidR="009D3067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</w:t>
      </w:r>
      <w:r w:rsidR="0031115A">
        <w:rPr>
          <w:color w:val="000000"/>
          <w:lang w:eastAsia="ru-RU" w:bidi="ru-RU"/>
        </w:rPr>
        <w:t xml:space="preserve">СГО СК </w:t>
      </w:r>
      <w:r>
        <w:rPr>
          <w:color w:val="000000"/>
          <w:lang w:eastAsia="ru-RU" w:bidi="ru-RU"/>
        </w:rPr>
        <w:t xml:space="preserve">от </w:t>
      </w:r>
      <w:r w:rsidR="0031115A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>.1</w:t>
      </w:r>
      <w:r w:rsidR="0031115A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.2019 № 1</w:t>
      </w:r>
      <w:r w:rsidR="0031115A">
        <w:rPr>
          <w:color w:val="000000"/>
          <w:lang w:eastAsia="ru-RU" w:bidi="ru-RU"/>
        </w:rPr>
        <w:t>484</w:t>
      </w:r>
      <w:r>
        <w:rPr>
          <w:color w:val="000000"/>
          <w:lang w:eastAsia="ru-RU" w:bidi="ru-RU"/>
        </w:rPr>
        <w:t xml:space="preserve"> (далее - Порядок)</w:t>
      </w:r>
      <w:r w:rsidR="008D3A0F">
        <w:rPr>
          <w:color w:val="000000"/>
          <w:lang w:eastAsia="ru-RU" w:bidi="ru-RU"/>
        </w:rPr>
        <w:t>.</w:t>
      </w:r>
    </w:p>
    <w:p w:rsidR="002F1223" w:rsidRDefault="002F1223" w:rsidP="00273C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проведения оценк</w:t>
      </w:r>
      <w:bookmarkStart w:id="0" w:name="_GoBack"/>
      <w:bookmarkEnd w:id="0"/>
      <w:r>
        <w:rPr>
          <w:color w:val="000000"/>
          <w:lang w:eastAsia="ru-RU" w:bidi="ru-RU"/>
        </w:rPr>
        <w:t xml:space="preserve">и эффективности налоговых расходов СГО СК </w:t>
      </w:r>
      <w:r w:rsidRPr="005C2E77">
        <w:rPr>
          <w:color w:val="000000"/>
          <w:lang w:eastAsia="ru-RU" w:bidi="ru-RU"/>
        </w:rPr>
        <w:t>использовались данные о категориях налогоплательщиков, о суммах выпадающих доходов и количестве налогоплательщиков</w:t>
      </w:r>
      <w:r>
        <w:rPr>
          <w:color w:val="000000"/>
          <w:lang w:eastAsia="ru-RU" w:bidi="ru-RU"/>
        </w:rPr>
        <w:t xml:space="preserve">, воспользовавшихся льготами, </w:t>
      </w:r>
      <w:r w:rsidRPr="00D62B4D">
        <w:rPr>
          <w:color w:val="000000"/>
          <w:lang w:eastAsia="ru-RU" w:bidi="ru-RU"/>
        </w:rPr>
        <w:t xml:space="preserve">представленные </w:t>
      </w:r>
      <w:r w:rsidR="00CD3ACB" w:rsidRPr="00D62B4D">
        <w:rPr>
          <w:color w:val="000000"/>
          <w:lang w:eastAsia="ru-RU" w:bidi="ru-RU"/>
        </w:rPr>
        <w:t>М</w:t>
      </w:r>
      <w:r w:rsidR="007C419D" w:rsidRPr="00D62B4D">
        <w:rPr>
          <w:color w:val="000000"/>
          <w:lang w:eastAsia="ru-RU" w:bidi="ru-RU"/>
        </w:rPr>
        <w:t xml:space="preserve">инистерством финансов </w:t>
      </w:r>
      <w:r w:rsidRPr="00D62B4D">
        <w:rPr>
          <w:color w:val="000000"/>
          <w:lang w:eastAsia="ru-RU" w:bidi="ru-RU"/>
        </w:rPr>
        <w:t>Ставропольско</w:t>
      </w:r>
      <w:r w:rsidR="007C419D" w:rsidRPr="00D62B4D">
        <w:rPr>
          <w:color w:val="000000"/>
          <w:lang w:eastAsia="ru-RU" w:bidi="ru-RU"/>
        </w:rPr>
        <w:t>го</w:t>
      </w:r>
      <w:r w:rsidRPr="00D62B4D">
        <w:rPr>
          <w:color w:val="000000"/>
          <w:lang w:eastAsia="ru-RU" w:bidi="ru-RU"/>
        </w:rPr>
        <w:t xml:space="preserve"> кра</w:t>
      </w:r>
      <w:r w:rsidR="007C419D" w:rsidRPr="00D62B4D">
        <w:rPr>
          <w:color w:val="000000"/>
          <w:lang w:eastAsia="ru-RU" w:bidi="ru-RU"/>
        </w:rPr>
        <w:t>я</w:t>
      </w:r>
      <w:r w:rsidR="00D62B4D" w:rsidRPr="00D62B4D">
        <w:rPr>
          <w:color w:val="000000"/>
          <w:lang w:eastAsia="ru-RU" w:bidi="ru-RU"/>
        </w:rPr>
        <w:t xml:space="preserve"> на основании данных </w:t>
      </w:r>
      <w:r w:rsidR="00D62B4D" w:rsidRPr="00D62B4D">
        <w:rPr>
          <w:color w:val="000000"/>
          <w:lang w:eastAsia="ru-RU" w:bidi="ru-RU"/>
        </w:rPr>
        <w:t>Межрайонной ИФНС России № 1 по СК</w:t>
      </w:r>
      <w:r w:rsidR="00D62B4D" w:rsidRPr="00D62B4D">
        <w:rPr>
          <w:color w:val="000000"/>
          <w:lang w:eastAsia="ru-RU" w:bidi="ru-RU"/>
        </w:rPr>
        <w:t>.</w:t>
      </w:r>
    </w:p>
    <w:p w:rsidR="00A9518D" w:rsidRPr="000E4969" w:rsidRDefault="00A9518D" w:rsidP="00A9518D">
      <w:pPr>
        <w:spacing w:after="0"/>
        <w:ind w:firstLine="709"/>
        <w:jc w:val="both"/>
      </w:pPr>
      <w:r w:rsidRPr="000E4969">
        <w:t>В соответствии с Порядком</w:t>
      </w:r>
      <w:r w:rsidR="00962225">
        <w:t>,</w:t>
      </w:r>
      <w:r w:rsidRPr="000E4969">
        <w:t xml:space="preserve"> оценк</w:t>
      </w:r>
      <w:r w:rsidR="00962225">
        <w:t>а</w:t>
      </w:r>
      <w:r w:rsidRPr="000E4969">
        <w:t xml:space="preserve"> эффективности налоговых расходов </w:t>
      </w:r>
      <w:r>
        <w:rPr>
          <w:color w:val="000000"/>
          <w:lang w:eastAsia="ru-RU" w:bidi="ru-RU"/>
        </w:rPr>
        <w:t xml:space="preserve">СГО СК </w:t>
      </w:r>
      <w:r w:rsidRPr="000E4969">
        <w:t>включает:</w:t>
      </w:r>
    </w:p>
    <w:p w:rsidR="00A9518D" w:rsidRPr="000E4969" w:rsidRDefault="00A9518D" w:rsidP="00A9518D">
      <w:pPr>
        <w:spacing w:after="0"/>
        <w:ind w:firstLine="709"/>
        <w:jc w:val="both"/>
      </w:pPr>
      <w:r w:rsidRPr="000E4969">
        <w:t>- оценку целесообразности налоговых расходов</w:t>
      </w:r>
      <w:r w:rsidR="00DF1DAC">
        <w:t xml:space="preserve"> </w:t>
      </w:r>
      <w:r w:rsidR="00DF1DAC">
        <w:rPr>
          <w:color w:val="000000"/>
          <w:lang w:eastAsia="ru-RU" w:bidi="ru-RU"/>
        </w:rPr>
        <w:t>СГО СК</w:t>
      </w:r>
      <w:r w:rsidRPr="000E4969">
        <w:t>;</w:t>
      </w:r>
    </w:p>
    <w:p w:rsidR="00A9518D" w:rsidRDefault="00A9518D" w:rsidP="00A9518D">
      <w:pPr>
        <w:spacing w:after="0"/>
        <w:ind w:firstLine="709"/>
        <w:jc w:val="both"/>
      </w:pPr>
      <w:r w:rsidRPr="000E4969">
        <w:t>- оценку результативности налоговых расходов</w:t>
      </w:r>
      <w:r w:rsidR="00DF1DAC">
        <w:t xml:space="preserve"> </w:t>
      </w:r>
      <w:r w:rsidR="00DF1DAC">
        <w:rPr>
          <w:color w:val="000000"/>
          <w:lang w:eastAsia="ru-RU" w:bidi="ru-RU"/>
        </w:rPr>
        <w:t>СГО СК</w:t>
      </w:r>
      <w:r w:rsidRPr="000E4969">
        <w:t>.</w:t>
      </w:r>
    </w:p>
    <w:p w:rsidR="004E4DD3" w:rsidRPr="000E4969" w:rsidRDefault="004E4DD3" w:rsidP="004E4DD3">
      <w:pPr>
        <w:spacing w:after="0"/>
        <w:ind w:firstLine="709"/>
        <w:jc w:val="both"/>
      </w:pPr>
      <w:r w:rsidRPr="000E4969">
        <w:t>Оценка целесообразности налоговых расходов проводится по следующим критериям:</w:t>
      </w:r>
    </w:p>
    <w:p w:rsidR="004E4DD3" w:rsidRPr="000E4969" w:rsidRDefault="004E4DD3" w:rsidP="00760D4A">
      <w:pPr>
        <w:spacing w:after="0"/>
        <w:ind w:firstLine="709"/>
        <w:jc w:val="both"/>
      </w:pPr>
      <w:r w:rsidRPr="000E4969">
        <w:t xml:space="preserve">- </w:t>
      </w:r>
      <w:r w:rsidR="00F218A2" w:rsidRPr="00B94009">
        <w:t xml:space="preserve">соответствие </w:t>
      </w:r>
      <w:r w:rsidR="00F218A2">
        <w:t xml:space="preserve">налоговых расходов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 целям </w:t>
      </w:r>
      <w:r w:rsidR="00F218A2">
        <w:t>муниципальных программ, программ</w:t>
      </w:r>
      <w:r w:rsidR="00F218A2" w:rsidRPr="00B94009">
        <w:t xml:space="preserve">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 и (или) целям социально-экономической политики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, не относящимся к </w:t>
      </w:r>
      <w:r w:rsidR="00F218A2">
        <w:t xml:space="preserve">муниципальным </w:t>
      </w:r>
      <w:r w:rsidR="00F218A2" w:rsidRPr="00B94009">
        <w:t>программам</w:t>
      </w:r>
      <w:r w:rsidR="00F218A2">
        <w:t xml:space="preserve">, программам </w:t>
      </w:r>
      <w:r w:rsidR="00F218A2">
        <w:rPr>
          <w:color w:val="000000"/>
          <w:lang w:eastAsia="ru-RU" w:bidi="ru-RU"/>
        </w:rPr>
        <w:t>СГО СК</w:t>
      </w:r>
      <w:r w:rsidRPr="000E4969">
        <w:t>;</w:t>
      </w:r>
    </w:p>
    <w:p w:rsidR="004E4DD3" w:rsidRPr="000E4969" w:rsidRDefault="004E4DD3" w:rsidP="00760D4A">
      <w:pPr>
        <w:spacing w:after="0"/>
        <w:ind w:firstLine="709"/>
        <w:jc w:val="both"/>
      </w:pPr>
      <w:r w:rsidRPr="000E4969">
        <w:t xml:space="preserve">- </w:t>
      </w:r>
      <w:r w:rsidR="005E6549" w:rsidRPr="00B94009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Pr="000E4969">
        <w:t>.</w:t>
      </w:r>
    </w:p>
    <w:p w:rsidR="00273C22" w:rsidRDefault="00DA7231" w:rsidP="00760D4A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B94009">
        <w:t xml:space="preserve">Оценка результативности </w:t>
      </w:r>
      <w:r>
        <w:t xml:space="preserve">налоговых расходов </w:t>
      </w:r>
      <w:r>
        <w:rPr>
          <w:color w:val="000000"/>
          <w:lang w:eastAsia="ru-RU" w:bidi="ru-RU"/>
        </w:rPr>
        <w:t>СГО СК</w:t>
      </w:r>
      <w:r w:rsidRPr="00B94009">
        <w:t xml:space="preserve"> включает в себя оценку бюджетной эффективности </w:t>
      </w:r>
      <w:r>
        <w:t xml:space="preserve">налоговых расходов </w:t>
      </w:r>
      <w:r>
        <w:rPr>
          <w:color w:val="000000"/>
          <w:lang w:eastAsia="ru-RU" w:bidi="ru-RU"/>
        </w:rPr>
        <w:t>СГО СК</w:t>
      </w:r>
      <w:r w:rsidR="00D92B62">
        <w:rPr>
          <w:color w:val="000000"/>
          <w:lang w:eastAsia="ru-RU" w:bidi="ru-RU"/>
        </w:rPr>
        <w:t>.</w:t>
      </w:r>
    </w:p>
    <w:p w:rsidR="00D92B62" w:rsidRDefault="00D92B62" w:rsidP="00B60F16">
      <w:pPr>
        <w:pStyle w:val="20"/>
        <w:shd w:val="clear" w:color="auto" w:fill="auto"/>
        <w:spacing w:line="276" w:lineRule="auto"/>
        <w:ind w:firstLine="709"/>
        <w:jc w:val="both"/>
      </w:pPr>
      <w:r w:rsidRPr="000E4969"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  <w:r w:rsidRPr="00B94009">
        <w:t xml:space="preserve">Результаты оценки эффективности </w:t>
      </w:r>
      <w:r>
        <w:t xml:space="preserve">налоговых расходов </w:t>
      </w:r>
      <w:r w:rsidR="00996457">
        <w:rPr>
          <w:color w:val="000000"/>
          <w:lang w:eastAsia="ru-RU" w:bidi="ru-RU"/>
        </w:rPr>
        <w:t>СГО СК</w:t>
      </w:r>
      <w:r w:rsidRPr="00B94009">
        <w:t xml:space="preserve"> учитываются при формировании основных направлений бюджетной и налоговой политики </w:t>
      </w:r>
      <w:r w:rsidR="00996457">
        <w:rPr>
          <w:color w:val="000000"/>
          <w:lang w:eastAsia="ru-RU" w:bidi="ru-RU"/>
        </w:rPr>
        <w:t>СГО СК</w:t>
      </w:r>
      <w:r w:rsidRPr="00B94009">
        <w:t xml:space="preserve">, а также при проведении оценки эффективности реализации </w:t>
      </w:r>
      <w:r>
        <w:t>муниципальных программ, программ</w:t>
      </w:r>
      <w:r w:rsidRPr="00B94009">
        <w:t xml:space="preserve"> </w:t>
      </w:r>
      <w:r w:rsidR="00996457">
        <w:rPr>
          <w:color w:val="000000"/>
          <w:lang w:eastAsia="ru-RU" w:bidi="ru-RU"/>
        </w:rPr>
        <w:t>СГО СК</w:t>
      </w:r>
      <w:r w:rsidRPr="00B94009">
        <w:t>.</w:t>
      </w:r>
    </w:p>
    <w:p w:rsidR="00FE0B0F" w:rsidRDefault="00403D21" w:rsidP="00387336">
      <w:pPr>
        <w:pStyle w:val="20"/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</w:t>
      </w:r>
      <w:r w:rsidRPr="00FE0B0F">
        <w:t xml:space="preserve">Совета депутатов </w:t>
      </w:r>
      <w:r>
        <w:rPr>
          <w:color w:val="000000"/>
          <w:lang w:eastAsia="ru-RU" w:bidi="ru-RU"/>
        </w:rPr>
        <w:t>СГО СК</w:t>
      </w:r>
      <w:r w:rsidRPr="00FE0B0F">
        <w:t xml:space="preserve"> </w:t>
      </w:r>
      <w:r w:rsidR="006A560E">
        <w:t>(</w:t>
      </w:r>
      <w:r w:rsidR="006A560E">
        <w:rPr>
          <w:color w:val="000000"/>
          <w:lang w:eastAsia="ru-RU" w:bidi="ru-RU"/>
        </w:rPr>
        <w:t>далее - решение СД</w:t>
      </w:r>
      <w:r w:rsidR="006A560E">
        <w:t>)</w:t>
      </w:r>
      <w:r w:rsidR="00A1469C">
        <w:t xml:space="preserve"> </w:t>
      </w:r>
      <w:r w:rsidRPr="00FE0B0F">
        <w:t>от 11.</w:t>
      </w:r>
      <w:r w:rsidR="00CB2627">
        <w:t>1</w:t>
      </w:r>
      <w:r w:rsidRPr="00FE0B0F">
        <w:t>0.2017 № 20 " О земельном налоге на территории муниципального образования</w:t>
      </w:r>
      <w:r>
        <w:t xml:space="preserve"> </w:t>
      </w:r>
      <w:r>
        <w:rPr>
          <w:color w:val="000000"/>
          <w:lang w:eastAsia="ru-RU" w:bidi="ru-RU"/>
        </w:rPr>
        <w:t>СГО СК</w:t>
      </w:r>
      <w:r w:rsidRPr="00B94009">
        <w:t xml:space="preserve"> </w:t>
      </w:r>
      <w:r>
        <w:t xml:space="preserve">" </w:t>
      </w:r>
      <w:r>
        <w:rPr>
          <w:color w:val="000000"/>
          <w:lang w:eastAsia="ru-RU" w:bidi="ru-RU"/>
        </w:rPr>
        <w:t>на 20</w:t>
      </w:r>
      <w:r w:rsidR="009C4A3E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 </w:t>
      </w:r>
      <w:r w:rsidR="00520AD1">
        <w:rPr>
          <w:color w:val="000000"/>
          <w:lang w:eastAsia="ru-RU" w:bidi="ru-RU"/>
        </w:rPr>
        <w:t>установлены</w:t>
      </w:r>
      <w:r>
        <w:rPr>
          <w:color w:val="000000"/>
          <w:lang w:eastAsia="ru-RU" w:bidi="ru-RU"/>
        </w:rPr>
        <w:t xml:space="preserve"> льгот</w:t>
      </w:r>
      <w:r w:rsidR="00520AD1">
        <w:rPr>
          <w:color w:val="000000"/>
          <w:lang w:eastAsia="ru-RU" w:bidi="ru-RU"/>
        </w:rPr>
        <w:t>ы</w:t>
      </w:r>
      <w:r w:rsidR="0028043D">
        <w:rPr>
          <w:color w:val="000000"/>
          <w:lang w:eastAsia="ru-RU" w:bidi="ru-RU"/>
        </w:rPr>
        <w:t xml:space="preserve"> по земельному налог</w:t>
      </w:r>
      <w:r w:rsidR="000A1F94">
        <w:rPr>
          <w:color w:val="000000"/>
          <w:lang w:eastAsia="ru-RU" w:bidi="ru-RU"/>
        </w:rPr>
        <w:t>у:</w:t>
      </w:r>
    </w:p>
    <w:p w:rsidR="005C68AD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>-</w:t>
      </w:r>
      <w:r w:rsidR="005C68AD" w:rsidRPr="005B60C5">
        <w:t>орган</w:t>
      </w:r>
      <w:r w:rsidR="0028043D">
        <w:t>ам</w:t>
      </w:r>
      <w:r w:rsidR="005C68AD" w:rsidRPr="005B60C5">
        <w:t xml:space="preserve"> местного самоуправления муниципального образования </w:t>
      </w:r>
      <w:r w:rsidR="005C68AD" w:rsidRPr="00A26462">
        <w:rPr>
          <w:color w:val="000000"/>
          <w:lang w:eastAsia="ru-RU" w:bidi="ru-RU"/>
        </w:rPr>
        <w:t>СГО СК</w:t>
      </w:r>
      <w:r w:rsidR="005C68AD" w:rsidRPr="005B60C5">
        <w:t>;</w:t>
      </w:r>
    </w:p>
    <w:p w:rsidR="005C68AD" w:rsidRPr="0056072B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</w:t>
      </w:r>
      <w:r w:rsidR="005C68AD" w:rsidRPr="00717B57">
        <w:t>отраслевы</w:t>
      </w:r>
      <w:r w:rsidR="0028043D">
        <w:t>м</w:t>
      </w:r>
      <w:r w:rsidR="005C68AD" w:rsidRPr="00717B57">
        <w:t xml:space="preserve"> (функциональны</w:t>
      </w:r>
      <w:r w:rsidR="0028043D">
        <w:t>м</w:t>
      </w:r>
      <w:r w:rsidR="005C68AD" w:rsidRPr="00717B57">
        <w:t>) и территориальны</w:t>
      </w:r>
      <w:r w:rsidR="0028043D">
        <w:t>м</w:t>
      </w:r>
      <w:r w:rsidR="005C68AD" w:rsidRPr="00717B57">
        <w:t xml:space="preserve"> орган</w:t>
      </w:r>
      <w:r w:rsidR="0028043D">
        <w:t>ам</w:t>
      </w:r>
      <w:r w:rsidR="007229BB">
        <w:t xml:space="preserve"> </w:t>
      </w:r>
      <w:r w:rsidR="005C68AD" w:rsidRPr="0056072B">
        <w:t xml:space="preserve">администрации </w:t>
      </w:r>
      <w:r w:rsidR="005C68AD" w:rsidRPr="0056072B">
        <w:rPr>
          <w:color w:val="000000"/>
          <w:lang w:eastAsia="ru-RU" w:bidi="ru-RU"/>
        </w:rPr>
        <w:t>СГО СК</w:t>
      </w:r>
      <w:r w:rsidR="005C68AD" w:rsidRPr="0056072B">
        <w:t xml:space="preserve"> с правами юридического лица;</w:t>
      </w:r>
    </w:p>
    <w:p w:rsidR="00CD341C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 w:rsidRPr="0056072B">
        <w:t>-</w:t>
      </w:r>
      <w:r w:rsidR="005C68AD" w:rsidRPr="0056072B">
        <w:t>организаци</w:t>
      </w:r>
      <w:r w:rsidR="007E3E2B" w:rsidRPr="0056072B">
        <w:t>ям</w:t>
      </w:r>
      <w:r w:rsidR="005C68AD" w:rsidRPr="0056072B">
        <w:t>- в отношении земельных участков, занятых муниципальными автомобильными дорогами общег</w:t>
      </w:r>
      <w:r w:rsidR="007E3E2B" w:rsidRPr="0056072B">
        <w:t>о пользования местного значения;</w:t>
      </w:r>
    </w:p>
    <w:p w:rsidR="007E3E2B" w:rsidRDefault="007E3E2B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-в</w:t>
      </w:r>
      <w:r w:rsidRPr="007E3E2B">
        <w:t xml:space="preserve"> размере 50 процентов от начисленной суммы земельного налога субъектам инвестиционной деятельности, осуществляющим реализацию инвестиционных проектов на территории муниципального образования С</w:t>
      </w:r>
      <w:r w:rsidR="00D62B4D">
        <w:t>ГО СК</w:t>
      </w:r>
      <w:r w:rsidRPr="007E3E2B">
        <w:t>, на срок фактической окупаемости инвестиционного проекта в пределах расчетного срока окупаемости инвестиционного проекта, но не более 2 лет после сдачи в эксплуатацию объекта инвестиционной деятельности</w:t>
      </w:r>
      <w:r>
        <w:t>.</w:t>
      </w:r>
    </w:p>
    <w:p w:rsidR="00880794" w:rsidRPr="00FE0B0F" w:rsidRDefault="00880794" w:rsidP="00CA3A74">
      <w:pPr>
        <w:pStyle w:val="20"/>
        <w:spacing w:line="276" w:lineRule="auto"/>
        <w:ind w:firstLine="709"/>
        <w:jc w:val="both"/>
      </w:pPr>
      <w:r w:rsidRPr="00743A42">
        <w:t>Объем налоговых и неналоговых доходов местного бюджета в 20</w:t>
      </w:r>
      <w:r w:rsidR="009C4A3E">
        <w:t>20</w:t>
      </w:r>
      <w:r w:rsidRPr="00743A42">
        <w:t xml:space="preserve"> году составил </w:t>
      </w:r>
      <w:r w:rsidR="00163EB6" w:rsidRPr="00163EB6">
        <w:t>3</w:t>
      </w:r>
      <w:r w:rsidR="006B4DD7" w:rsidRPr="00163EB6">
        <w:t>8</w:t>
      </w:r>
      <w:r w:rsidR="00163EB6" w:rsidRPr="00163EB6">
        <w:t>2</w:t>
      </w:r>
      <w:r w:rsidR="006B4DD7" w:rsidRPr="00163EB6">
        <w:t xml:space="preserve"> </w:t>
      </w:r>
      <w:r w:rsidR="00163EB6" w:rsidRPr="00163EB6">
        <w:t>131</w:t>
      </w:r>
      <w:r w:rsidRPr="00163EB6">
        <w:t>,</w:t>
      </w:r>
      <w:r w:rsidR="006B4DD7" w:rsidRPr="00163EB6">
        <w:t>2</w:t>
      </w:r>
      <w:r w:rsidR="00163EB6" w:rsidRPr="00163EB6">
        <w:t>8</w:t>
      </w:r>
      <w:r w:rsidRPr="00163EB6">
        <w:t xml:space="preserve"> тыс. рублей, из них земельный налог – </w:t>
      </w:r>
      <w:r w:rsidR="006B4DD7" w:rsidRPr="00163EB6">
        <w:t>6</w:t>
      </w:r>
      <w:r w:rsidR="00163EB6" w:rsidRPr="00163EB6">
        <w:t>5</w:t>
      </w:r>
      <w:r w:rsidR="006B4DD7" w:rsidRPr="00163EB6">
        <w:t> </w:t>
      </w:r>
      <w:r w:rsidR="00163EB6" w:rsidRPr="00163EB6">
        <w:t>6</w:t>
      </w:r>
      <w:r w:rsidR="006B4DD7" w:rsidRPr="00163EB6">
        <w:t>6</w:t>
      </w:r>
      <w:r w:rsidR="00163EB6" w:rsidRPr="00163EB6">
        <w:t>0</w:t>
      </w:r>
      <w:r w:rsidR="006B4DD7" w:rsidRPr="00163EB6">
        <w:t>,</w:t>
      </w:r>
      <w:r w:rsidR="00163EB6" w:rsidRPr="00163EB6">
        <w:t xml:space="preserve">46 </w:t>
      </w:r>
      <w:r w:rsidRPr="00163EB6">
        <w:t>тыс. рублей.  Объем налоговых расходов в 20</w:t>
      </w:r>
      <w:r w:rsidR="00163EB6" w:rsidRPr="00163EB6">
        <w:t>20</w:t>
      </w:r>
      <w:r w:rsidRPr="00163EB6">
        <w:t xml:space="preserve"> </w:t>
      </w:r>
      <w:r w:rsidRPr="00122AB6">
        <w:t>году по данным</w:t>
      </w:r>
      <w:r w:rsidR="00415978" w:rsidRPr="00122AB6">
        <w:t xml:space="preserve"> </w:t>
      </w:r>
      <w:r w:rsidR="00415978" w:rsidRPr="00122AB6">
        <w:rPr>
          <w:color w:val="000000"/>
          <w:lang w:eastAsia="ru-RU" w:bidi="ru-RU"/>
        </w:rPr>
        <w:t>Межрайонной ИФНС России № 1 по С</w:t>
      </w:r>
      <w:r w:rsidR="00D62B4D">
        <w:rPr>
          <w:color w:val="000000"/>
          <w:lang w:eastAsia="ru-RU" w:bidi="ru-RU"/>
        </w:rPr>
        <w:t>К</w:t>
      </w:r>
      <w:r w:rsidR="00415978" w:rsidRPr="00122AB6">
        <w:rPr>
          <w:color w:val="000000"/>
          <w:lang w:eastAsia="ru-RU" w:bidi="ru-RU"/>
        </w:rPr>
        <w:t xml:space="preserve"> </w:t>
      </w:r>
      <w:r w:rsidRPr="00122AB6">
        <w:t xml:space="preserve">составил </w:t>
      </w:r>
      <w:r w:rsidR="00122AB6" w:rsidRPr="00122AB6">
        <w:t xml:space="preserve">14 </w:t>
      </w:r>
      <w:r w:rsidR="00AF0E55" w:rsidRPr="00122AB6">
        <w:t>9</w:t>
      </w:r>
      <w:r w:rsidR="00122AB6" w:rsidRPr="00122AB6">
        <w:t>71</w:t>
      </w:r>
      <w:r w:rsidRPr="00122AB6">
        <w:t xml:space="preserve">,0 тыс. рублей. </w:t>
      </w:r>
      <w:r w:rsidRPr="004D1B09">
        <w:t>Доля налоговых расходов в объеме налоговых и неналоговых доходов местного бюджета в 20</w:t>
      </w:r>
      <w:r w:rsidR="00912ACF" w:rsidRPr="004D1B09">
        <w:t>20</w:t>
      </w:r>
      <w:r w:rsidRPr="004D1B09">
        <w:t xml:space="preserve"> году </w:t>
      </w:r>
      <w:r w:rsidRPr="00C424F3">
        <w:t xml:space="preserve">составила </w:t>
      </w:r>
      <w:r w:rsidR="00C424F3" w:rsidRPr="00C424F3">
        <w:t xml:space="preserve">3,9 </w:t>
      </w:r>
      <w:r w:rsidRPr="00C424F3">
        <w:t>%.</w:t>
      </w:r>
    </w:p>
    <w:p w:rsidR="00CC2578" w:rsidRDefault="00542FE0" w:rsidP="00F83E8A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Информация о структуре налоговых расходов за период 201</w:t>
      </w:r>
      <w:r w:rsidR="0014237C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-20</w:t>
      </w:r>
      <w:r w:rsidR="0014237C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годов представлена в таблице.</w:t>
      </w:r>
    </w:p>
    <w:p w:rsidR="00542FE0" w:rsidRPr="00B15978" w:rsidRDefault="00542FE0" w:rsidP="00542FE0">
      <w:pPr>
        <w:pStyle w:val="30"/>
        <w:shd w:val="clear" w:color="auto" w:fill="auto"/>
        <w:spacing w:line="260" w:lineRule="exact"/>
        <w:rPr>
          <w:sz w:val="28"/>
          <w:szCs w:val="28"/>
        </w:rPr>
      </w:pPr>
      <w:r w:rsidRPr="00B15978">
        <w:rPr>
          <w:color w:val="000000"/>
          <w:sz w:val="28"/>
          <w:szCs w:val="28"/>
          <w:lang w:eastAsia="ru-RU" w:bidi="ru-RU"/>
        </w:rPr>
        <w:t xml:space="preserve">Таблица </w:t>
      </w:r>
      <w:r w:rsidR="00197CBD">
        <w:rPr>
          <w:color w:val="000000"/>
          <w:sz w:val="28"/>
          <w:szCs w:val="28"/>
          <w:lang w:eastAsia="ru-RU" w:bidi="ru-RU"/>
        </w:rPr>
        <w:t>1</w:t>
      </w:r>
    </w:p>
    <w:p w:rsidR="00FE0B0F" w:rsidRPr="00B15978" w:rsidRDefault="00FE0B0F" w:rsidP="00760D4A">
      <w:pPr>
        <w:pStyle w:val="20"/>
        <w:shd w:val="clear" w:color="auto" w:fill="auto"/>
        <w:spacing w:line="276" w:lineRule="auto"/>
        <w:ind w:firstLine="709"/>
        <w:jc w:val="both"/>
      </w:pPr>
    </w:p>
    <w:p w:rsidR="00542FE0" w:rsidRDefault="00542FE0" w:rsidP="00F83E8A">
      <w:pPr>
        <w:pStyle w:val="a5"/>
        <w:shd w:val="clear" w:color="auto" w:fill="auto"/>
        <w:spacing w:line="260" w:lineRule="exact"/>
        <w:rPr>
          <w:color w:val="000000"/>
          <w:sz w:val="28"/>
          <w:szCs w:val="28"/>
          <w:lang w:eastAsia="ru-RU" w:bidi="ru-RU"/>
        </w:rPr>
      </w:pPr>
      <w:r w:rsidRPr="00B15978">
        <w:rPr>
          <w:color w:val="000000"/>
          <w:sz w:val="28"/>
          <w:szCs w:val="28"/>
          <w:lang w:eastAsia="ru-RU" w:bidi="ru-RU"/>
        </w:rPr>
        <w:t>Структура налоговых расходов за период 201</w:t>
      </w:r>
      <w:r w:rsidR="00FD4E89" w:rsidRPr="00B15978">
        <w:rPr>
          <w:color w:val="000000"/>
          <w:sz w:val="28"/>
          <w:szCs w:val="28"/>
          <w:lang w:eastAsia="ru-RU" w:bidi="ru-RU"/>
        </w:rPr>
        <w:t>9</w:t>
      </w:r>
      <w:r w:rsidRPr="00B15978">
        <w:rPr>
          <w:color w:val="000000"/>
          <w:sz w:val="28"/>
          <w:szCs w:val="28"/>
          <w:lang w:eastAsia="ru-RU" w:bidi="ru-RU"/>
        </w:rPr>
        <w:t>-20</w:t>
      </w:r>
      <w:r w:rsidR="00FD4E89" w:rsidRPr="00B15978">
        <w:rPr>
          <w:color w:val="000000"/>
          <w:sz w:val="28"/>
          <w:szCs w:val="28"/>
          <w:lang w:eastAsia="ru-RU" w:bidi="ru-RU"/>
        </w:rPr>
        <w:t>20</w:t>
      </w:r>
      <w:r w:rsidRPr="00B15978">
        <w:rPr>
          <w:color w:val="000000"/>
          <w:sz w:val="28"/>
          <w:szCs w:val="28"/>
          <w:lang w:eastAsia="ru-RU" w:bidi="ru-RU"/>
        </w:rPr>
        <w:t xml:space="preserve"> годов</w:t>
      </w:r>
    </w:p>
    <w:p w:rsidR="00197CBD" w:rsidRDefault="00197CBD" w:rsidP="00F83E8A">
      <w:pPr>
        <w:pStyle w:val="a5"/>
        <w:shd w:val="clear" w:color="auto" w:fill="auto"/>
        <w:spacing w:line="260" w:lineRule="exact"/>
      </w:pPr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344"/>
        <w:gridCol w:w="1456"/>
        <w:gridCol w:w="1559"/>
        <w:gridCol w:w="1559"/>
      </w:tblGrid>
      <w:tr w:rsidR="00EE2E9C" w:rsidRPr="00B15978" w:rsidTr="00EE2E9C">
        <w:trPr>
          <w:trHeight w:hRule="exact" w:val="26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Pr="00B15978" w:rsidRDefault="00EE2E9C" w:rsidP="00542FE0">
            <w:pPr>
              <w:pStyle w:val="20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Наименование</w:t>
            </w:r>
          </w:p>
          <w:p w:rsidR="00EE2E9C" w:rsidRPr="00B15978" w:rsidRDefault="00EE2E9C" w:rsidP="00542FE0">
            <w:pPr>
              <w:pStyle w:val="20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показателей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201</w:t>
            </w:r>
            <w:r w:rsidR="00B220BD" w:rsidRPr="00B15978">
              <w:rPr>
                <w:rStyle w:val="2105pt"/>
                <w:sz w:val="24"/>
                <w:szCs w:val="24"/>
              </w:rPr>
              <w:t>9</w:t>
            </w:r>
            <w:r w:rsidRPr="00B15978">
              <w:rPr>
                <w:rStyle w:val="2105pt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20</w:t>
            </w:r>
            <w:r w:rsidR="00B220BD" w:rsidRPr="00B15978">
              <w:rPr>
                <w:rStyle w:val="2105pt"/>
                <w:sz w:val="24"/>
                <w:szCs w:val="24"/>
              </w:rPr>
              <w:t>20</w:t>
            </w:r>
            <w:r w:rsidRPr="00B15978">
              <w:rPr>
                <w:rStyle w:val="2105pt"/>
                <w:sz w:val="24"/>
                <w:szCs w:val="24"/>
              </w:rPr>
              <w:t xml:space="preserve"> год</w:t>
            </w:r>
          </w:p>
        </w:tc>
      </w:tr>
      <w:tr w:rsidR="00EE2E9C" w:rsidRPr="00B15978" w:rsidTr="00EE2E9C">
        <w:trPr>
          <w:trHeight w:hRule="exact" w:val="264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E9C" w:rsidRPr="00B15978" w:rsidRDefault="00EE2E9C" w:rsidP="00542FE0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тыс. рублей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9C" w:rsidRPr="00B15978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%</w:t>
            </w:r>
          </w:p>
        </w:tc>
      </w:tr>
      <w:tr w:rsidR="004F2F6A" w:rsidRPr="00B15978" w:rsidTr="00EE2E9C">
        <w:trPr>
          <w:trHeight w:hRule="exact" w:val="13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 xml:space="preserve">Предоставленные налоговые льготы, установленные решением СД </w:t>
            </w:r>
            <w:r w:rsidRPr="00B15978">
              <w:rPr>
                <w:color w:val="000000"/>
                <w:sz w:val="24"/>
                <w:szCs w:val="24"/>
                <w:lang w:eastAsia="ru-RU" w:bidi="ru-RU"/>
              </w:rPr>
              <w:t>СГО СК</w:t>
            </w:r>
            <w:r w:rsidRPr="00B15978">
              <w:rPr>
                <w:rStyle w:val="2105pt"/>
                <w:sz w:val="24"/>
                <w:szCs w:val="24"/>
              </w:rPr>
              <w:t xml:space="preserve"> от 11.10.2017 № 20,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F2F6A" w:rsidRPr="00B15978" w:rsidRDefault="003117C0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5840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4"/>
                <w:szCs w:val="24"/>
              </w:rPr>
            </w:pPr>
          </w:p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681D06" w:rsidRPr="00B15978" w:rsidRDefault="00681D06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14</w:t>
            </w:r>
            <w:r w:rsidR="00B15978" w:rsidRPr="00B15978">
              <w:rPr>
                <w:sz w:val="24"/>
                <w:szCs w:val="24"/>
              </w:rPr>
              <w:t> </w:t>
            </w:r>
            <w:r w:rsidRPr="00B15978">
              <w:rPr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B15978" w:rsidRPr="00B15978" w:rsidRDefault="00B15978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100</w:t>
            </w:r>
          </w:p>
        </w:tc>
      </w:tr>
      <w:tr w:rsidR="004F2F6A" w:rsidRPr="00B15978" w:rsidTr="00EE2E9C">
        <w:trPr>
          <w:trHeight w:hRule="exact" w:val="26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15978">
              <w:rPr>
                <w:rStyle w:val="2105pt"/>
                <w:sz w:val="24"/>
                <w:szCs w:val="24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rPr>
                <w:sz w:val="24"/>
                <w:szCs w:val="24"/>
              </w:rPr>
            </w:pPr>
          </w:p>
        </w:tc>
      </w:tr>
      <w:tr w:rsidR="004F2F6A" w:rsidRPr="00B15978" w:rsidTr="00EE2E9C">
        <w:trPr>
          <w:trHeight w:hRule="exact" w:val="13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B7280E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15978">
              <w:rPr>
                <w:rStyle w:val="2105pt0"/>
                <w:sz w:val="24"/>
                <w:szCs w:val="24"/>
              </w:rPr>
              <w:t>Технические налоговые расходы</w:t>
            </w:r>
            <w:r w:rsidRPr="00B15978">
              <w:rPr>
                <w:rStyle w:val="2105pt"/>
                <w:sz w:val="24"/>
                <w:szCs w:val="24"/>
              </w:rPr>
              <w:t xml:space="preserve"> (направленные на исключение встречных финансовых потоков), </w:t>
            </w:r>
            <w:r w:rsidRPr="00B1597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 них: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F2F6A" w:rsidRPr="00B15978" w:rsidRDefault="003117C0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5840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681D06" w:rsidRPr="00B15978" w:rsidRDefault="00681D06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14</w:t>
            </w:r>
            <w:r w:rsidR="004C1EB0">
              <w:rPr>
                <w:sz w:val="24"/>
                <w:szCs w:val="24"/>
              </w:rPr>
              <w:t> </w:t>
            </w:r>
            <w:r w:rsidRPr="00B15978">
              <w:rPr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6A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C1EB0" w:rsidRPr="00B15978" w:rsidRDefault="004C1EB0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2F6A" w:rsidRPr="00B15978" w:rsidTr="00EE2E9C">
        <w:trPr>
          <w:trHeight w:hRule="exact" w:val="10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B15978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органы местного самоуправления муниципального образования </w:t>
            </w:r>
            <w:r w:rsidRPr="00B15978">
              <w:rPr>
                <w:color w:val="000000"/>
                <w:sz w:val="24"/>
                <w:szCs w:val="24"/>
                <w:lang w:eastAsia="ru-RU" w:bidi="ru-RU"/>
              </w:rPr>
              <w:t>СГО СК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5840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F2F6A" w:rsidRPr="00B15978" w:rsidRDefault="003117C0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F6A" w:rsidRPr="00B15978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681D06" w:rsidRPr="00B15978" w:rsidRDefault="00681D06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15978">
              <w:rPr>
                <w:sz w:val="24"/>
                <w:szCs w:val="24"/>
              </w:rPr>
              <w:t>14</w:t>
            </w:r>
            <w:r w:rsidR="004C1EB0">
              <w:rPr>
                <w:sz w:val="24"/>
                <w:szCs w:val="24"/>
              </w:rPr>
              <w:t> </w:t>
            </w:r>
            <w:r w:rsidRPr="00B15978">
              <w:rPr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6A" w:rsidRDefault="004F2F6A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4C1EB0" w:rsidRPr="00B15978" w:rsidRDefault="004C1EB0" w:rsidP="004F2F6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42FE0" w:rsidRDefault="00542FE0" w:rsidP="00760D4A">
      <w:pPr>
        <w:pStyle w:val="20"/>
        <w:shd w:val="clear" w:color="auto" w:fill="auto"/>
        <w:spacing w:line="276" w:lineRule="auto"/>
        <w:ind w:firstLine="709"/>
        <w:jc w:val="both"/>
      </w:pPr>
    </w:p>
    <w:p w:rsidR="000A5D23" w:rsidRDefault="002E6025" w:rsidP="00D31134">
      <w:pPr>
        <w:spacing w:after="0"/>
        <w:ind w:firstLine="709"/>
        <w:jc w:val="both"/>
        <w:rPr>
          <w:color w:val="000000"/>
          <w:lang w:eastAsia="ru-RU" w:bidi="ru-RU"/>
        </w:rPr>
      </w:pPr>
      <w:r w:rsidRPr="0055527C">
        <w:t>Основной объем налоговых расходов в 20</w:t>
      </w:r>
      <w:r w:rsidR="00090CED">
        <w:t>20</w:t>
      </w:r>
      <w:r w:rsidRPr="0055527C">
        <w:t xml:space="preserve"> году приходится на </w:t>
      </w:r>
      <w:r w:rsidR="00074FE9" w:rsidRPr="0055527C">
        <w:t>льгот</w:t>
      </w:r>
      <w:r w:rsidR="00074FE9">
        <w:t>ы</w:t>
      </w:r>
      <w:r w:rsidR="00074FE9" w:rsidRPr="0055527C">
        <w:t xml:space="preserve"> по земельному налогу</w:t>
      </w:r>
      <w:r w:rsidR="00074FE9">
        <w:t xml:space="preserve">, </w:t>
      </w:r>
      <w:r w:rsidR="0094216F">
        <w:t>которые п</w:t>
      </w:r>
      <w:r w:rsidR="003E0839">
        <w:t>редоставл</w:t>
      </w:r>
      <w:r w:rsidR="0094216F">
        <w:t>яются</w:t>
      </w:r>
      <w:r w:rsidR="003E0839">
        <w:t xml:space="preserve"> органам</w:t>
      </w:r>
      <w:r w:rsidR="00074FE9">
        <w:t xml:space="preserve"> местного </w:t>
      </w:r>
      <w:r w:rsidR="00074FE9">
        <w:lastRenderedPageBreak/>
        <w:t>самоуправления, финансируемым</w:t>
      </w:r>
      <w:r w:rsidR="00442E20">
        <w:t>и</w:t>
      </w:r>
      <w:r w:rsidR="00074FE9">
        <w:t xml:space="preserve"> из бюджета </w:t>
      </w:r>
      <w:r w:rsidR="00074FE9">
        <w:rPr>
          <w:color w:val="000000"/>
          <w:lang w:eastAsia="ru-RU" w:bidi="ru-RU"/>
        </w:rPr>
        <w:t>СГО СК</w:t>
      </w:r>
      <w:r w:rsidR="00411DC5">
        <w:rPr>
          <w:color w:val="000000"/>
          <w:lang w:eastAsia="ru-RU" w:bidi="ru-RU"/>
        </w:rPr>
        <w:t xml:space="preserve"> и</w:t>
      </w:r>
      <w:r w:rsidR="0081619B">
        <w:rPr>
          <w:color w:val="000000"/>
          <w:lang w:eastAsia="ru-RU" w:bidi="ru-RU"/>
        </w:rPr>
        <w:t xml:space="preserve"> явля</w:t>
      </w:r>
      <w:r w:rsidR="00411DC5">
        <w:rPr>
          <w:color w:val="000000"/>
          <w:lang w:eastAsia="ru-RU" w:bidi="ru-RU"/>
        </w:rPr>
        <w:t>ю</w:t>
      </w:r>
      <w:r w:rsidR="0081619B">
        <w:rPr>
          <w:color w:val="000000"/>
          <w:lang w:eastAsia="ru-RU" w:bidi="ru-RU"/>
        </w:rPr>
        <w:t xml:space="preserve">тся </w:t>
      </w:r>
      <w:r w:rsidRPr="0055527C">
        <w:t>технически</w:t>
      </w:r>
      <w:r w:rsidR="0081619B">
        <w:t>ми</w:t>
      </w:r>
      <w:r w:rsidRPr="0055527C">
        <w:t xml:space="preserve"> налоговы</w:t>
      </w:r>
      <w:r w:rsidR="0081619B">
        <w:t>ми</w:t>
      </w:r>
      <w:r w:rsidRPr="0055527C">
        <w:t xml:space="preserve"> расход</w:t>
      </w:r>
      <w:r w:rsidR="0081619B">
        <w:t>ами</w:t>
      </w:r>
      <w:r w:rsidR="0061650F">
        <w:rPr>
          <w:color w:val="000000"/>
          <w:lang w:eastAsia="ru-RU" w:bidi="ru-RU"/>
        </w:rPr>
        <w:t>.</w:t>
      </w:r>
    </w:p>
    <w:p w:rsidR="00E21451" w:rsidRDefault="0027523F" w:rsidP="0027523F">
      <w:pPr>
        <w:spacing w:after="0"/>
        <w:ind w:firstLine="709"/>
        <w:jc w:val="both"/>
      </w:pPr>
      <w:r w:rsidRPr="004C2EB2">
        <w:t>Целью применения технического налогового расхода является оптимизация встречных бюджетных финансовых потоков.  Применение данного вида налоговых льгот позволяет снизить бюджетные расходы на финансирование орган</w:t>
      </w:r>
      <w:r>
        <w:t>ов местного самоуправления</w:t>
      </w:r>
      <w:r w:rsidRPr="004C2EB2">
        <w:t xml:space="preserve">, что способствует высвобождению финансовых ресурсов для достижения целей социально-экономической политики по развитию </w:t>
      </w:r>
      <w:r>
        <w:t>СГО СК</w:t>
      </w:r>
      <w:r w:rsidR="00E21451">
        <w:t xml:space="preserve"> </w:t>
      </w:r>
      <w:r w:rsidRPr="004C2EB2">
        <w:t>в целом.</w:t>
      </w:r>
    </w:p>
    <w:p w:rsidR="007B26C5" w:rsidRDefault="007B26C5" w:rsidP="007B26C5">
      <w:pPr>
        <w:spacing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рамках проведенного анализа критерия целесообразности налоговых расходов установлено соответствие цели </w:t>
      </w:r>
      <w:r w:rsidRPr="004C1101">
        <w:rPr>
          <w:color w:val="000000"/>
          <w:lang w:eastAsia="ru-RU" w:bidi="ru-RU"/>
        </w:rPr>
        <w:t>муниципальн</w:t>
      </w:r>
      <w:r>
        <w:rPr>
          <w:color w:val="000000"/>
          <w:lang w:eastAsia="ru-RU" w:bidi="ru-RU"/>
        </w:rPr>
        <w:t>ой</w:t>
      </w:r>
      <w:r w:rsidRPr="004C1101">
        <w:rPr>
          <w:color w:val="000000"/>
          <w:lang w:eastAsia="ru-RU" w:bidi="ru-RU"/>
        </w:rPr>
        <w:t xml:space="preserve"> программ</w:t>
      </w:r>
      <w:r>
        <w:rPr>
          <w:color w:val="000000"/>
          <w:lang w:eastAsia="ru-RU" w:bidi="ru-RU"/>
        </w:rPr>
        <w:t>ы</w:t>
      </w:r>
      <w:r w:rsidRPr="004C1101">
        <w:rPr>
          <w:color w:val="000000"/>
          <w:lang w:eastAsia="ru-RU" w:bidi="ru-RU"/>
        </w:rPr>
        <w:t xml:space="preserve"> "Повышение эффективности управления муниципальными финансами СГО СК"</w:t>
      </w:r>
      <w:r>
        <w:rPr>
          <w:color w:val="000000"/>
          <w:lang w:eastAsia="ru-RU" w:bidi="ru-RU"/>
        </w:rPr>
        <w:t>, утвержденной п</w:t>
      </w:r>
      <w:r w:rsidRPr="007B26C5">
        <w:rPr>
          <w:color w:val="000000"/>
          <w:lang w:eastAsia="ru-RU" w:bidi="ru-RU"/>
        </w:rPr>
        <w:t>остановление</w:t>
      </w:r>
      <w:r>
        <w:rPr>
          <w:color w:val="000000"/>
          <w:lang w:eastAsia="ru-RU" w:bidi="ru-RU"/>
        </w:rPr>
        <w:t>м</w:t>
      </w:r>
      <w:r w:rsidRPr="007B26C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главы </w:t>
      </w:r>
      <w:r w:rsidRPr="007B26C5">
        <w:rPr>
          <w:color w:val="000000"/>
          <w:lang w:eastAsia="ru-RU" w:bidi="ru-RU"/>
        </w:rPr>
        <w:t>администрации Советского городского округа Ставропольского края от 01.03.2018 года № 243</w:t>
      </w:r>
      <w:r>
        <w:rPr>
          <w:color w:val="000000"/>
          <w:lang w:eastAsia="ru-RU" w:bidi="ru-RU"/>
        </w:rPr>
        <w:t>- с</w:t>
      </w:r>
      <w:r w:rsidRPr="007B26C5">
        <w:rPr>
          <w:color w:val="000000"/>
          <w:lang w:eastAsia="ru-RU" w:bidi="ru-RU"/>
        </w:rPr>
        <w:t>нижение объемов расходов местного бюджета на финансовое обеспечение деятельности органов местного самоуправления за счет предоставления льготы</w:t>
      </w:r>
      <w:r w:rsidR="00E913E4">
        <w:rPr>
          <w:color w:val="000000"/>
          <w:lang w:eastAsia="ru-RU" w:bidi="ru-RU"/>
        </w:rPr>
        <w:t xml:space="preserve"> и </w:t>
      </w:r>
      <w:r w:rsidR="00E913E4">
        <w:t>устранени</w:t>
      </w:r>
      <w:r w:rsidR="00E913E4">
        <w:t>е</w:t>
      </w:r>
      <w:r w:rsidR="00E913E4">
        <w:t xml:space="preserve"> встречных финансовых потоков средств местного бюджета</w:t>
      </w:r>
      <w:r w:rsidR="00E913E4">
        <w:t>.</w:t>
      </w:r>
    </w:p>
    <w:p w:rsidR="003642F7" w:rsidRPr="003642F7" w:rsidRDefault="008D30F4" w:rsidP="003642F7">
      <w:pPr>
        <w:spacing w:after="0"/>
        <w:ind w:firstLine="708"/>
        <w:jc w:val="both"/>
        <w:rPr>
          <w:color w:val="000000"/>
          <w:lang w:eastAsia="ru-RU" w:bidi="ru-RU"/>
        </w:rPr>
      </w:pPr>
      <w:r w:rsidRPr="003642F7">
        <w:rPr>
          <w:color w:val="000000"/>
          <w:lang w:eastAsia="ru-RU" w:bidi="ru-RU"/>
        </w:rPr>
        <w:t>В 20</w:t>
      </w:r>
      <w:r w:rsidR="00090CED" w:rsidRPr="003642F7">
        <w:rPr>
          <w:color w:val="000000"/>
          <w:lang w:eastAsia="ru-RU" w:bidi="ru-RU"/>
        </w:rPr>
        <w:t>20</w:t>
      </w:r>
      <w:r w:rsidRPr="003642F7">
        <w:rPr>
          <w:color w:val="000000"/>
          <w:lang w:eastAsia="ru-RU" w:bidi="ru-RU"/>
        </w:rPr>
        <w:t xml:space="preserve"> году налогов</w:t>
      </w:r>
      <w:r w:rsidR="00F46BA0" w:rsidRPr="003642F7">
        <w:rPr>
          <w:color w:val="000000"/>
          <w:lang w:eastAsia="ru-RU" w:bidi="ru-RU"/>
        </w:rPr>
        <w:t>ыми</w:t>
      </w:r>
      <w:r w:rsidRPr="003642F7">
        <w:rPr>
          <w:color w:val="000000"/>
          <w:lang w:eastAsia="ru-RU" w:bidi="ru-RU"/>
        </w:rPr>
        <w:t xml:space="preserve"> </w:t>
      </w:r>
      <w:r w:rsidR="00F46BA0" w:rsidRPr="003642F7">
        <w:rPr>
          <w:color w:val="000000"/>
          <w:lang w:eastAsia="ru-RU" w:bidi="ru-RU"/>
        </w:rPr>
        <w:t>расходами</w:t>
      </w:r>
      <w:r w:rsidRPr="003642F7">
        <w:rPr>
          <w:color w:val="000000"/>
          <w:lang w:eastAsia="ru-RU" w:bidi="ru-RU"/>
        </w:rPr>
        <w:t xml:space="preserve"> воспользовались </w:t>
      </w:r>
      <w:r w:rsidR="003642F7" w:rsidRPr="003642F7">
        <w:rPr>
          <w:color w:val="000000"/>
          <w:lang w:eastAsia="ru-RU" w:bidi="ru-RU"/>
        </w:rPr>
        <w:t xml:space="preserve">7 </w:t>
      </w:r>
      <w:r w:rsidRPr="003642F7">
        <w:rPr>
          <w:color w:val="000000"/>
          <w:lang w:eastAsia="ru-RU" w:bidi="ru-RU"/>
        </w:rPr>
        <w:t>организаци</w:t>
      </w:r>
      <w:r w:rsidR="003642F7" w:rsidRPr="003642F7">
        <w:rPr>
          <w:color w:val="000000"/>
          <w:lang w:eastAsia="ru-RU" w:bidi="ru-RU"/>
        </w:rPr>
        <w:t>й</w:t>
      </w:r>
      <w:r w:rsidRPr="003642F7">
        <w:rPr>
          <w:color w:val="000000"/>
          <w:lang w:eastAsia="ru-RU" w:bidi="ru-RU"/>
        </w:rPr>
        <w:t xml:space="preserve">, </w:t>
      </w:r>
      <w:r w:rsidR="00F46BA0" w:rsidRPr="003642F7">
        <w:rPr>
          <w:color w:val="000000"/>
          <w:lang w:eastAsia="ru-RU" w:bidi="ru-RU"/>
        </w:rPr>
        <w:t>для</w:t>
      </w:r>
      <w:r w:rsidR="00F46BA0">
        <w:rPr>
          <w:color w:val="000000"/>
          <w:lang w:eastAsia="ru-RU" w:bidi="ru-RU"/>
        </w:rPr>
        <w:t xml:space="preserve"> которых были установлены льготы по земельному налогу,</w:t>
      </w:r>
      <w:r w:rsidR="001013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что </w:t>
      </w:r>
      <w:r w:rsidR="00663BE9">
        <w:rPr>
          <w:color w:val="000000"/>
          <w:lang w:eastAsia="ru-RU" w:bidi="ru-RU"/>
        </w:rPr>
        <w:t xml:space="preserve">говорит </w:t>
      </w:r>
      <w:r w:rsidRPr="009A6FEA">
        <w:rPr>
          <w:color w:val="000000"/>
          <w:lang w:eastAsia="ru-RU" w:bidi="ru-RU"/>
        </w:rPr>
        <w:t xml:space="preserve">о ее </w:t>
      </w:r>
      <w:r w:rsidR="0063309A" w:rsidRPr="003642F7">
        <w:rPr>
          <w:color w:val="000000"/>
          <w:lang w:eastAsia="ru-RU" w:bidi="ru-RU"/>
        </w:rPr>
        <w:t>востребованности</w:t>
      </w:r>
      <w:r w:rsidR="00153003" w:rsidRPr="003642F7">
        <w:rPr>
          <w:color w:val="000000"/>
          <w:lang w:eastAsia="ru-RU" w:bidi="ru-RU"/>
        </w:rPr>
        <w:t>.</w:t>
      </w:r>
    </w:p>
    <w:p w:rsidR="00B373D8" w:rsidRDefault="00B373D8" w:rsidP="00B373D8">
      <w:pPr>
        <w:spacing w:after="0"/>
        <w:ind w:firstLine="539"/>
        <w:jc w:val="both"/>
        <w:rPr>
          <w:bCs/>
          <w:szCs w:val="20"/>
        </w:rPr>
      </w:pPr>
      <w:r w:rsidRPr="00B373D8">
        <w:t>Оценка результативности налогового расхода характеризуется положительным совокупным бюджетным эффектом</w:t>
      </w:r>
      <w:r w:rsidRPr="00B373D8">
        <w:rPr>
          <w:bCs/>
          <w:szCs w:val="20"/>
        </w:rPr>
        <w:t>, что наряду с высокой оценкой её целесообразности и экономической эффективности свидетельствует об эффективности использования данного вида налогового расхода</w:t>
      </w:r>
      <w:r>
        <w:rPr>
          <w:bCs/>
          <w:szCs w:val="20"/>
        </w:rPr>
        <w:t>.</w:t>
      </w:r>
    </w:p>
    <w:p w:rsidR="001A133C" w:rsidRDefault="009F64F6" w:rsidP="00B373D8">
      <w:pPr>
        <w:spacing w:after="0"/>
        <w:ind w:firstLine="539"/>
        <w:jc w:val="both"/>
      </w:pPr>
      <w:r>
        <w:t xml:space="preserve">Вывод: </w:t>
      </w:r>
      <w:r w:rsidR="00B373D8">
        <w:t xml:space="preserve">поскольку налоговый расход оказывает положительное </w:t>
      </w:r>
      <w:r w:rsidR="001A133C">
        <w:t>влияние на социально- экономическое развитие СГО СК, способствует устранению встречных финансовых потоков средств местного бюджета, его действие в 20</w:t>
      </w:r>
      <w:r w:rsidR="00090CED">
        <w:t>20</w:t>
      </w:r>
      <w:r w:rsidR="001A133C">
        <w:t xml:space="preserve"> году признано целесообразным и эффективным.</w:t>
      </w:r>
    </w:p>
    <w:p w:rsidR="00E913E4" w:rsidRPr="003642F7" w:rsidRDefault="00E913E4" w:rsidP="00E913E4">
      <w:pPr>
        <w:spacing w:after="0"/>
        <w:ind w:firstLine="708"/>
        <w:jc w:val="both"/>
        <w:rPr>
          <w:rFonts w:eastAsia="Times New Roman"/>
          <w:lang w:eastAsia="ru-RU"/>
        </w:rPr>
      </w:pPr>
      <w:r w:rsidRPr="003642F7">
        <w:rPr>
          <w:rFonts w:eastAsiaTheme="minorEastAsia"/>
          <w:lang w:eastAsia="ru-RU"/>
        </w:rPr>
        <w:t>Вместе с тем, по результатам уточненн</w:t>
      </w:r>
      <w:r>
        <w:rPr>
          <w:rFonts w:eastAsiaTheme="minorEastAsia"/>
          <w:lang w:eastAsia="ru-RU"/>
        </w:rPr>
        <w:t xml:space="preserve">ых данных, полученных из </w:t>
      </w:r>
      <w:r w:rsidRPr="00122AB6">
        <w:rPr>
          <w:color w:val="000000"/>
          <w:lang w:eastAsia="ru-RU" w:bidi="ru-RU"/>
        </w:rPr>
        <w:t>Межрайонной ИФНС России № 1 по С</w:t>
      </w:r>
      <w:r>
        <w:rPr>
          <w:color w:val="000000"/>
          <w:lang w:eastAsia="ru-RU" w:bidi="ru-RU"/>
        </w:rPr>
        <w:t xml:space="preserve">К за </w:t>
      </w:r>
      <w:r w:rsidRPr="003642F7">
        <w:rPr>
          <w:rFonts w:eastAsiaTheme="minorEastAsia"/>
          <w:lang w:eastAsia="ru-RU"/>
        </w:rPr>
        <w:t xml:space="preserve">2019 год, определена </w:t>
      </w:r>
      <w:r>
        <w:rPr>
          <w:rFonts w:eastAsiaTheme="minorEastAsia"/>
          <w:lang w:eastAsia="ru-RU"/>
        </w:rPr>
        <w:t xml:space="preserve">как </w:t>
      </w:r>
      <w:r w:rsidRPr="003642F7">
        <w:rPr>
          <w:rFonts w:eastAsiaTheme="minorEastAsia"/>
          <w:lang w:eastAsia="ru-RU"/>
        </w:rPr>
        <w:t>невостребованн</w:t>
      </w:r>
      <w:r>
        <w:rPr>
          <w:rFonts w:eastAsiaTheme="minorEastAsia"/>
          <w:lang w:eastAsia="ru-RU"/>
        </w:rPr>
        <w:t>ая</w:t>
      </w:r>
      <w:r w:rsidRPr="003642F7">
        <w:rPr>
          <w:rFonts w:eastAsiaTheme="minorEastAsia"/>
          <w:lang w:eastAsia="ru-RU"/>
        </w:rPr>
        <w:t xml:space="preserve"> налоговая льгота </w:t>
      </w:r>
      <w:r w:rsidRPr="00AD41DD">
        <w:rPr>
          <w:rFonts w:eastAsiaTheme="minorEastAsia"/>
          <w:lang w:eastAsia="ru-RU"/>
        </w:rPr>
        <w:t>в отношении земельных участков, занятых муниципальными автомобильными дорогами общего пользования местного значения</w:t>
      </w:r>
      <w:r w:rsidRPr="003642F7">
        <w:rPr>
          <w:rFonts w:eastAsiaTheme="minorEastAsia"/>
          <w:lang w:eastAsia="ru-RU"/>
        </w:rPr>
        <w:t xml:space="preserve"> (</w:t>
      </w:r>
      <w:r w:rsidRPr="00AD41DD">
        <w:rPr>
          <w:rFonts w:eastAsia="Times New Roman"/>
          <w:lang w:eastAsia="ru-RU"/>
        </w:rPr>
        <w:t xml:space="preserve">за период с 01.01. 2018 года по 01.01.2021 года никто из налогоплательщиков зарегистрированных на территории </w:t>
      </w:r>
      <w:r w:rsidRPr="00AD41DD">
        <w:rPr>
          <w:rFonts w:eastAsiaTheme="minorEastAsia"/>
          <w:lang w:eastAsia="ru-RU"/>
        </w:rPr>
        <w:t>С</w:t>
      </w:r>
      <w:r w:rsidRPr="003642F7">
        <w:rPr>
          <w:rFonts w:eastAsiaTheme="minorEastAsia"/>
          <w:lang w:eastAsia="ru-RU"/>
        </w:rPr>
        <w:t>ГО СК данной</w:t>
      </w:r>
      <w:r w:rsidRPr="00AD41DD">
        <w:rPr>
          <w:rFonts w:eastAsia="Times New Roman"/>
          <w:lang w:eastAsia="ru-RU"/>
        </w:rPr>
        <w:t xml:space="preserve"> льготой не воспользовался</w:t>
      </w:r>
      <w:r w:rsidRPr="003642F7">
        <w:rPr>
          <w:rFonts w:eastAsia="Times New Roman"/>
          <w:lang w:eastAsia="ru-RU"/>
        </w:rPr>
        <w:t xml:space="preserve">) и решением Совета </w:t>
      </w:r>
      <w:r w:rsidRPr="00AD41DD">
        <w:rPr>
          <w:rFonts w:eastAsiaTheme="minorEastAsia"/>
          <w:lang w:eastAsia="ru-RU"/>
        </w:rPr>
        <w:t>депутатов</w:t>
      </w:r>
      <w:r w:rsidRPr="003642F7">
        <w:rPr>
          <w:rFonts w:eastAsiaTheme="minorEastAsia"/>
          <w:lang w:eastAsia="ru-RU"/>
        </w:rPr>
        <w:t xml:space="preserve"> СГО СК № 464 от 14.07.2021 года с 01 января 2022 года отменена.</w:t>
      </w:r>
    </w:p>
    <w:p w:rsidR="00F4746A" w:rsidRDefault="00F4746A" w:rsidP="00F4746A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Льгота на уплату земельного налога </w:t>
      </w:r>
      <w:r>
        <w:t>в</w:t>
      </w:r>
      <w:r w:rsidRPr="007E3E2B">
        <w:t xml:space="preserve"> размере 50 процентов от начисленной суммы земельного налога субъектам инвестиционной деятельности, осуществляющим реализацию инвестиционных проектов на </w:t>
      </w:r>
      <w:r w:rsidRPr="007E3E2B">
        <w:lastRenderedPageBreak/>
        <w:t>территории муниципального образования Советского городского округа Ставропольского края, на срок фактической окупаемости инвестиционного проекта в пределах расчетного срока окупаемости инвестиционного проекта, но не более 2 лет после сдачи в эксплуатацию объекта инвестиционной деятельности</w:t>
      </w:r>
      <w:r w:rsidR="006B3FE3">
        <w:t xml:space="preserve"> (по мере требования субъектов </w:t>
      </w:r>
      <w:r w:rsidR="006B3FE3" w:rsidRPr="007E3E2B">
        <w:t>инвестиционной деятельности</w:t>
      </w:r>
      <w:r w:rsidR="006B3FE3">
        <w:t xml:space="preserve">) субъектам </w:t>
      </w:r>
      <w:r w:rsidR="006B3FE3" w:rsidRPr="007E3E2B">
        <w:t>инвестиционной деятельности</w:t>
      </w:r>
      <w:r w:rsidR="006B3FE3">
        <w:t xml:space="preserve"> не предоставлялась, соответственно, оценка эффективности не проводилась.</w:t>
      </w:r>
    </w:p>
    <w:p w:rsidR="007A43EF" w:rsidRDefault="007A43EF" w:rsidP="00B373D8">
      <w:pPr>
        <w:spacing w:after="0"/>
        <w:ind w:firstLine="539"/>
        <w:jc w:val="both"/>
      </w:pPr>
    </w:p>
    <w:p w:rsidR="007A43EF" w:rsidRDefault="007A43EF" w:rsidP="00B373D8">
      <w:pPr>
        <w:spacing w:after="0"/>
        <w:ind w:firstLine="539"/>
        <w:jc w:val="both"/>
      </w:pPr>
    </w:p>
    <w:p w:rsidR="00101377" w:rsidRDefault="001A133C" w:rsidP="00101377">
      <w:pPr>
        <w:spacing w:after="0"/>
        <w:ind w:firstLine="539"/>
        <w:jc w:val="both"/>
      </w:pPr>
      <w:r>
        <w:t xml:space="preserve"> </w:t>
      </w:r>
    </w:p>
    <w:p w:rsidR="009C4985" w:rsidRPr="009C4985" w:rsidRDefault="009C4985" w:rsidP="009C4985">
      <w:pPr>
        <w:spacing w:after="0"/>
        <w:jc w:val="both"/>
      </w:pPr>
      <w:r w:rsidRPr="009C4985">
        <w:t xml:space="preserve">Начальник Финансового управления </w:t>
      </w:r>
    </w:p>
    <w:p w:rsidR="009C4985" w:rsidRPr="009C4985" w:rsidRDefault="009C4985" w:rsidP="009C4985">
      <w:pPr>
        <w:spacing w:after="0"/>
        <w:jc w:val="both"/>
      </w:pPr>
      <w:r w:rsidRPr="009C4985">
        <w:t xml:space="preserve">администрации Советского </w:t>
      </w:r>
    </w:p>
    <w:p w:rsidR="009C4985" w:rsidRPr="009C4985" w:rsidRDefault="009C4985" w:rsidP="009C4985">
      <w:pPr>
        <w:spacing w:after="0"/>
        <w:jc w:val="both"/>
      </w:pPr>
      <w:r w:rsidRPr="009C4985">
        <w:t xml:space="preserve">городского округа </w:t>
      </w:r>
    </w:p>
    <w:p w:rsidR="009C4985" w:rsidRPr="009C4985" w:rsidRDefault="009C4985" w:rsidP="009C4985">
      <w:pPr>
        <w:spacing w:after="0"/>
        <w:jc w:val="both"/>
      </w:pPr>
      <w:r w:rsidRPr="009C4985">
        <w:t>Ставропольского края                                                               Л.А.Кудряшова</w:t>
      </w:r>
    </w:p>
    <w:p w:rsidR="009C4985" w:rsidRPr="009C4985" w:rsidRDefault="009C4985" w:rsidP="009C4985">
      <w:pPr>
        <w:spacing w:after="0"/>
        <w:ind w:firstLine="539"/>
        <w:jc w:val="both"/>
      </w:pPr>
    </w:p>
    <w:p w:rsidR="00101377" w:rsidRDefault="009C4985" w:rsidP="00101377">
      <w:pPr>
        <w:spacing w:after="0"/>
        <w:ind w:firstLine="539"/>
        <w:jc w:val="both"/>
      </w:pPr>
      <w:r w:rsidRPr="009C4985">
        <w:t xml:space="preserve"> </w:t>
      </w:r>
    </w:p>
    <w:sectPr w:rsidR="00101377" w:rsidSect="00F83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0FD8"/>
    <w:multiLevelType w:val="hybridMultilevel"/>
    <w:tmpl w:val="1088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B4"/>
    <w:multiLevelType w:val="hybridMultilevel"/>
    <w:tmpl w:val="31F4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D"/>
    <w:rsid w:val="000155BB"/>
    <w:rsid w:val="0002751D"/>
    <w:rsid w:val="00044A82"/>
    <w:rsid w:val="00064B5B"/>
    <w:rsid w:val="00074FE9"/>
    <w:rsid w:val="00090CED"/>
    <w:rsid w:val="00091134"/>
    <w:rsid w:val="000A1F94"/>
    <w:rsid w:val="000A5D23"/>
    <w:rsid w:val="000A6C2E"/>
    <w:rsid w:val="000C50F0"/>
    <w:rsid w:val="000E104B"/>
    <w:rsid w:val="000F5184"/>
    <w:rsid w:val="000F686A"/>
    <w:rsid w:val="00101377"/>
    <w:rsid w:val="00122AB6"/>
    <w:rsid w:val="001266F7"/>
    <w:rsid w:val="00140EF4"/>
    <w:rsid w:val="0014237C"/>
    <w:rsid w:val="00153003"/>
    <w:rsid w:val="00160B30"/>
    <w:rsid w:val="00163EB6"/>
    <w:rsid w:val="001933AC"/>
    <w:rsid w:val="00194788"/>
    <w:rsid w:val="001957EE"/>
    <w:rsid w:val="00197CBD"/>
    <w:rsid w:val="001A133C"/>
    <w:rsid w:val="001A699F"/>
    <w:rsid w:val="001A6FF0"/>
    <w:rsid w:val="001B0AD2"/>
    <w:rsid w:val="001B6865"/>
    <w:rsid w:val="001C2F98"/>
    <w:rsid w:val="00222BDF"/>
    <w:rsid w:val="00271E85"/>
    <w:rsid w:val="00273C22"/>
    <w:rsid w:val="0027523F"/>
    <w:rsid w:val="0028043D"/>
    <w:rsid w:val="002A3C28"/>
    <w:rsid w:val="002C7B3B"/>
    <w:rsid w:val="002D3F21"/>
    <w:rsid w:val="002E069B"/>
    <w:rsid w:val="002E2204"/>
    <w:rsid w:val="002E6025"/>
    <w:rsid w:val="002E754D"/>
    <w:rsid w:val="002F1223"/>
    <w:rsid w:val="0031115A"/>
    <w:rsid w:val="003117C0"/>
    <w:rsid w:val="00317BA3"/>
    <w:rsid w:val="00343C6E"/>
    <w:rsid w:val="00352343"/>
    <w:rsid w:val="003633AE"/>
    <w:rsid w:val="003642F7"/>
    <w:rsid w:val="003829F7"/>
    <w:rsid w:val="00387336"/>
    <w:rsid w:val="003A1B91"/>
    <w:rsid w:val="003C62D8"/>
    <w:rsid w:val="003C7915"/>
    <w:rsid w:val="003E0839"/>
    <w:rsid w:val="00403D21"/>
    <w:rsid w:val="00411DC5"/>
    <w:rsid w:val="00415978"/>
    <w:rsid w:val="00432F95"/>
    <w:rsid w:val="004361D1"/>
    <w:rsid w:val="00442E20"/>
    <w:rsid w:val="004653B8"/>
    <w:rsid w:val="004A0450"/>
    <w:rsid w:val="004C1101"/>
    <w:rsid w:val="004C1EB0"/>
    <w:rsid w:val="004C6C8F"/>
    <w:rsid w:val="004D1B09"/>
    <w:rsid w:val="004E4DD3"/>
    <w:rsid w:val="004F2F6A"/>
    <w:rsid w:val="00520AD1"/>
    <w:rsid w:val="005226E6"/>
    <w:rsid w:val="0053619C"/>
    <w:rsid w:val="00541E3F"/>
    <w:rsid w:val="00542FE0"/>
    <w:rsid w:val="0056072B"/>
    <w:rsid w:val="005A0B85"/>
    <w:rsid w:val="005B3C71"/>
    <w:rsid w:val="005C2E77"/>
    <w:rsid w:val="005C68AD"/>
    <w:rsid w:val="005E6549"/>
    <w:rsid w:val="005F3F7B"/>
    <w:rsid w:val="006143EE"/>
    <w:rsid w:val="0061650F"/>
    <w:rsid w:val="0063309A"/>
    <w:rsid w:val="00663BE9"/>
    <w:rsid w:val="0067591F"/>
    <w:rsid w:val="00681D06"/>
    <w:rsid w:val="00690225"/>
    <w:rsid w:val="006A560E"/>
    <w:rsid w:val="006B25CA"/>
    <w:rsid w:val="006B3FE3"/>
    <w:rsid w:val="006B4DD7"/>
    <w:rsid w:val="006C55FA"/>
    <w:rsid w:val="006C78E6"/>
    <w:rsid w:val="006D1506"/>
    <w:rsid w:val="006E4C57"/>
    <w:rsid w:val="007229BB"/>
    <w:rsid w:val="00726E3A"/>
    <w:rsid w:val="00760D4A"/>
    <w:rsid w:val="007A43EF"/>
    <w:rsid w:val="007A79A8"/>
    <w:rsid w:val="007B26C5"/>
    <w:rsid w:val="007C0B7F"/>
    <w:rsid w:val="007C419D"/>
    <w:rsid w:val="007D162F"/>
    <w:rsid w:val="007E1BDF"/>
    <w:rsid w:val="007E3E2B"/>
    <w:rsid w:val="00811CBB"/>
    <w:rsid w:val="0081619B"/>
    <w:rsid w:val="0083048C"/>
    <w:rsid w:val="00841958"/>
    <w:rsid w:val="00843D5A"/>
    <w:rsid w:val="0086244A"/>
    <w:rsid w:val="008722A8"/>
    <w:rsid w:val="00874DAF"/>
    <w:rsid w:val="00880794"/>
    <w:rsid w:val="00885D48"/>
    <w:rsid w:val="008928DE"/>
    <w:rsid w:val="008947AA"/>
    <w:rsid w:val="00894EED"/>
    <w:rsid w:val="008A63C5"/>
    <w:rsid w:val="008D30F4"/>
    <w:rsid w:val="008D3A0F"/>
    <w:rsid w:val="008E3178"/>
    <w:rsid w:val="008E3DB3"/>
    <w:rsid w:val="008F596E"/>
    <w:rsid w:val="00910670"/>
    <w:rsid w:val="009111F8"/>
    <w:rsid w:val="00912AC0"/>
    <w:rsid w:val="00912ACF"/>
    <w:rsid w:val="0094216F"/>
    <w:rsid w:val="00960617"/>
    <w:rsid w:val="00960C15"/>
    <w:rsid w:val="00962225"/>
    <w:rsid w:val="00966D7C"/>
    <w:rsid w:val="00976D1D"/>
    <w:rsid w:val="00995ED0"/>
    <w:rsid w:val="00996457"/>
    <w:rsid w:val="009A6FEA"/>
    <w:rsid w:val="009C4985"/>
    <w:rsid w:val="009C4A3E"/>
    <w:rsid w:val="009D3067"/>
    <w:rsid w:val="009E1FFC"/>
    <w:rsid w:val="009F64F6"/>
    <w:rsid w:val="00A1469C"/>
    <w:rsid w:val="00A26462"/>
    <w:rsid w:val="00A87026"/>
    <w:rsid w:val="00A91516"/>
    <w:rsid w:val="00A9518D"/>
    <w:rsid w:val="00AD41DD"/>
    <w:rsid w:val="00AE08BE"/>
    <w:rsid w:val="00AE0A7C"/>
    <w:rsid w:val="00AE26B1"/>
    <w:rsid w:val="00AE32FB"/>
    <w:rsid w:val="00AF0E55"/>
    <w:rsid w:val="00B0346D"/>
    <w:rsid w:val="00B0574C"/>
    <w:rsid w:val="00B0626A"/>
    <w:rsid w:val="00B15978"/>
    <w:rsid w:val="00B220BD"/>
    <w:rsid w:val="00B225D6"/>
    <w:rsid w:val="00B373D8"/>
    <w:rsid w:val="00B43B21"/>
    <w:rsid w:val="00B60F16"/>
    <w:rsid w:val="00B7280E"/>
    <w:rsid w:val="00BD36EE"/>
    <w:rsid w:val="00BD4A9B"/>
    <w:rsid w:val="00BF37B6"/>
    <w:rsid w:val="00BF5BAA"/>
    <w:rsid w:val="00C011AB"/>
    <w:rsid w:val="00C424F3"/>
    <w:rsid w:val="00C533BE"/>
    <w:rsid w:val="00C54010"/>
    <w:rsid w:val="00CA3A74"/>
    <w:rsid w:val="00CB2627"/>
    <w:rsid w:val="00CB40F1"/>
    <w:rsid w:val="00CB79D8"/>
    <w:rsid w:val="00CC2578"/>
    <w:rsid w:val="00CD341C"/>
    <w:rsid w:val="00CD3ACB"/>
    <w:rsid w:val="00CE26C1"/>
    <w:rsid w:val="00CE4989"/>
    <w:rsid w:val="00D31134"/>
    <w:rsid w:val="00D3432A"/>
    <w:rsid w:val="00D34DD4"/>
    <w:rsid w:val="00D62B4D"/>
    <w:rsid w:val="00D744EF"/>
    <w:rsid w:val="00D8059D"/>
    <w:rsid w:val="00D84904"/>
    <w:rsid w:val="00D92B62"/>
    <w:rsid w:val="00D9457E"/>
    <w:rsid w:val="00D94CD9"/>
    <w:rsid w:val="00DA7231"/>
    <w:rsid w:val="00DF1DAC"/>
    <w:rsid w:val="00E21451"/>
    <w:rsid w:val="00E23B6D"/>
    <w:rsid w:val="00E357CD"/>
    <w:rsid w:val="00E37C2C"/>
    <w:rsid w:val="00E444C3"/>
    <w:rsid w:val="00E6101E"/>
    <w:rsid w:val="00E744E2"/>
    <w:rsid w:val="00E81116"/>
    <w:rsid w:val="00E821E4"/>
    <w:rsid w:val="00E90325"/>
    <w:rsid w:val="00E906D6"/>
    <w:rsid w:val="00E913E4"/>
    <w:rsid w:val="00E9199F"/>
    <w:rsid w:val="00E92665"/>
    <w:rsid w:val="00E97403"/>
    <w:rsid w:val="00EA7DF0"/>
    <w:rsid w:val="00EE2E9C"/>
    <w:rsid w:val="00EE3EF6"/>
    <w:rsid w:val="00F218A2"/>
    <w:rsid w:val="00F320B9"/>
    <w:rsid w:val="00F46BA0"/>
    <w:rsid w:val="00F4746A"/>
    <w:rsid w:val="00F83E8A"/>
    <w:rsid w:val="00F845DA"/>
    <w:rsid w:val="00FC129D"/>
    <w:rsid w:val="00FC63CE"/>
    <w:rsid w:val="00FD126E"/>
    <w:rsid w:val="00FD4E89"/>
    <w:rsid w:val="00FE0B0F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2FA1"/>
  <w15:docId w15:val="{8A5C14EC-6F69-4C9D-9AB1-7FEF8606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55B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5BB"/>
    <w:pPr>
      <w:widowControl w:val="0"/>
      <w:shd w:val="clear" w:color="auto" w:fill="FFFFFF"/>
      <w:spacing w:after="0" w:line="317" w:lineRule="exact"/>
      <w:jc w:val="center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542FE0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FE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542FE0"/>
    <w:rPr>
      <w:rFonts w:eastAsia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2FE0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character" w:customStyle="1" w:styleId="2105pt">
    <w:name w:val="Основной текст (2) + 10;5 pt"/>
    <w:basedOn w:val="2"/>
    <w:rsid w:val="00542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42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C78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8E6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197CB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5E2F-2C5D-4204-8538-3E978AA4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soloib</dc:creator>
  <cp:lastModifiedBy>Loskutova</cp:lastModifiedBy>
  <cp:revision>91</cp:revision>
  <cp:lastPrinted>2021-08-11T08:05:00Z</cp:lastPrinted>
  <dcterms:created xsi:type="dcterms:W3CDTF">2021-07-12T12:14:00Z</dcterms:created>
  <dcterms:modified xsi:type="dcterms:W3CDTF">2021-08-13T07:06:00Z</dcterms:modified>
</cp:coreProperties>
</file>