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8C" w:rsidRPr="00791C2C" w:rsidRDefault="00B1428C" w:rsidP="00B1428C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791C2C">
        <w:rPr>
          <w:rFonts w:ascii="Times New Roman" w:hAnsi="Times New Roman" w:cs="Times New Roman"/>
          <w:sz w:val="28"/>
          <w:szCs w:val="28"/>
        </w:rPr>
        <w:t>ОТЧЕТ</w:t>
      </w:r>
    </w:p>
    <w:p w:rsidR="0066150E" w:rsidRDefault="00B1428C" w:rsidP="0066150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о проведении </w:t>
      </w:r>
      <w:proofErr w:type="gramStart"/>
      <w:r w:rsidRPr="00791C2C">
        <w:rPr>
          <w:sz w:val="28"/>
          <w:szCs w:val="28"/>
        </w:rPr>
        <w:t xml:space="preserve">оценки регулирующего воздействия проекта постановления </w:t>
      </w:r>
      <w:r w:rsidR="00373DF9">
        <w:rPr>
          <w:sz w:val="28"/>
          <w:szCs w:val="28"/>
        </w:rPr>
        <w:t>администрации Советского городского округа</w:t>
      </w:r>
      <w:r w:rsidR="00373DF9" w:rsidRPr="00F40158">
        <w:rPr>
          <w:sz w:val="28"/>
          <w:szCs w:val="28"/>
        </w:rPr>
        <w:t xml:space="preserve"> Ставропольского</w:t>
      </w:r>
      <w:proofErr w:type="gramEnd"/>
      <w:r w:rsidR="00373DF9" w:rsidRPr="00F40158">
        <w:rPr>
          <w:sz w:val="28"/>
          <w:szCs w:val="28"/>
        </w:rPr>
        <w:t xml:space="preserve"> края </w:t>
      </w:r>
      <w:r w:rsidR="0066150E">
        <w:rPr>
          <w:sz w:val="28"/>
          <w:szCs w:val="28"/>
        </w:rPr>
        <w:t>«</w:t>
      </w:r>
      <w:r w:rsidR="0066150E" w:rsidRPr="00B30115">
        <w:rPr>
          <w:sz w:val="28"/>
          <w:szCs w:val="28"/>
        </w:rPr>
        <w:t>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</w:r>
      <w:r w:rsidR="0066150E">
        <w:rPr>
          <w:sz w:val="28"/>
          <w:szCs w:val="28"/>
        </w:rPr>
        <w:t>»</w:t>
      </w:r>
    </w:p>
    <w:p w:rsidR="000517DE" w:rsidRDefault="000517DE" w:rsidP="000517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1428C" w:rsidRPr="00791C2C" w:rsidRDefault="00B1428C" w:rsidP="000517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124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4746"/>
        <w:gridCol w:w="4677"/>
        <w:gridCol w:w="2268"/>
      </w:tblGrid>
      <w:tr w:rsidR="00B1428C" w:rsidRPr="00791C2C" w:rsidTr="00B93C53">
        <w:trPr>
          <w:gridAfter w:val="1"/>
          <w:wAfter w:w="2268" w:type="dxa"/>
          <w:trHeight w:val="390"/>
        </w:trPr>
        <w:tc>
          <w:tcPr>
            <w:tcW w:w="756" w:type="dxa"/>
          </w:tcPr>
          <w:p w:rsidR="00B1428C" w:rsidRPr="00791C2C" w:rsidRDefault="00B1428C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B1428C" w:rsidRPr="00791C2C" w:rsidRDefault="00B1428C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791C2C" w:rsidTr="00B93C53">
        <w:trPr>
          <w:gridAfter w:val="1"/>
          <w:wAfter w:w="2268" w:type="dxa"/>
          <w:trHeight w:val="24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28C" w:rsidRPr="00791C2C" w:rsidTr="00B93C53">
        <w:trPr>
          <w:gridAfter w:val="1"/>
          <w:wAfter w:w="2268" w:type="dxa"/>
          <w:trHeight w:val="165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</w:t>
            </w:r>
            <w:r w:rsidRPr="00791C2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процедура оценки регулирующего воздействия (далее – проект нормативного правового акта)                                                                   </w:t>
            </w:r>
          </w:p>
        </w:tc>
        <w:tc>
          <w:tcPr>
            <w:tcW w:w="4677" w:type="dxa"/>
          </w:tcPr>
          <w:p w:rsidR="0066150E" w:rsidRDefault="00B1428C" w:rsidP="0066150E">
            <w:pPr>
              <w:pStyle w:val="p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345CE">
              <w:rPr>
                <w:sz w:val="28"/>
                <w:szCs w:val="28"/>
              </w:rPr>
              <w:t xml:space="preserve">Проект постановления </w:t>
            </w:r>
            <w:r w:rsidR="00373DF9" w:rsidRPr="00E345CE">
              <w:rPr>
                <w:sz w:val="28"/>
                <w:szCs w:val="28"/>
              </w:rPr>
              <w:t xml:space="preserve">администрации Советского городского округа Ставропольского края </w:t>
            </w:r>
            <w:r w:rsidR="0066150E">
              <w:rPr>
                <w:sz w:val="28"/>
                <w:szCs w:val="28"/>
              </w:rPr>
              <w:t>«</w:t>
            </w:r>
            <w:r w:rsidR="0066150E" w:rsidRPr="00B30115">
              <w:rPr>
                <w:sz w:val="28"/>
                <w:szCs w:val="28"/>
              </w:rPr>
              <w:t>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      </w:r>
            <w:r w:rsidR="0066150E">
              <w:rPr>
                <w:sz w:val="28"/>
                <w:szCs w:val="28"/>
              </w:rPr>
              <w:t>»</w:t>
            </w:r>
          </w:p>
          <w:p w:rsidR="00D40D0D" w:rsidRPr="00D40D0D" w:rsidRDefault="00D40D0D" w:rsidP="00D40D0D">
            <w:pPr>
              <w:contextualSpacing/>
              <w:jc w:val="both"/>
              <w:rPr>
                <w:sz w:val="28"/>
                <w:szCs w:val="28"/>
              </w:rPr>
            </w:pPr>
          </w:p>
          <w:p w:rsidR="00B1428C" w:rsidRPr="00E345CE" w:rsidRDefault="00B1428C" w:rsidP="00446C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791C2C" w:rsidTr="00B93C53">
        <w:trPr>
          <w:gridAfter w:val="1"/>
          <w:wAfter w:w="2268" w:type="dxa"/>
          <w:trHeight w:val="285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6" w:type="dxa"/>
          </w:tcPr>
          <w:p w:rsidR="00B1428C" w:rsidRPr="00791C2C" w:rsidRDefault="00B1428C" w:rsidP="00FF548C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Наименование отдела  администрации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отраслевого (функционального) органа администрации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Совета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разработавшего проект нормативного правового  акта (далее - разработчик  проекта нормативного правового акта).  </w:t>
            </w:r>
          </w:p>
        </w:tc>
        <w:tc>
          <w:tcPr>
            <w:tcW w:w="4677" w:type="dxa"/>
          </w:tcPr>
          <w:p w:rsidR="00B1428C" w:rsidRPr="00791C2C" w:rsidRDefault="00B1428C" w:rsidP="00FF54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Советского </w:t>
            </w:r>
            <w:r w:rsidR="00FF548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1428C" w:rsidRPr="00791C2C" w:rsidTr="00B93C53">
        <w:trPr>
          <w:gridAfter w:val="1"/>
          <w:wAfter w:w="2268" w:type="dxa"/>
          <w:trHeight w:val="18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677" w:type="dxa"/>
          </w:tcPr>
          <w:p w:rsidR="00E76E0D" w:rsidRDefault="00740261" w:rsidP="00E76E0D">
            <w:pPr>
              <w:pStyle w:val="p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</w:t>
            </w:r>
            <w:r w:rsidRPr="007402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становление правового регулирования деятельности администрации </w:t>
            </w:r>
            <w:r w:rsidRPr="00740261">
              <w:rPr>
                <w:rFonts w:eastAsiaTheme="minorHAnsi"/>
                <w:sz w:val="28"/>
                <w:szCs w:val="28"/>
                <w:lang w:eastAsia="en-US"/>
              </w:rPr>
              <w:t xml:space="preserve">городского округа </w:t>
            </w:r>
            <w:r w:rsidRPr="007402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 </w:t>
            </w:r>
            <w:r w:rsidRPr="0074026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упорядочению размещения и организации работы </w:t>
            </w:r>
            <w:r w:rsidRPr="0074026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нестационарных торговых объектов,</w:t>
            </w:r>
            <w:r w:rsidRPr="00740261">
              <w:rPr>
                <w:rFonts w:eastAsiaTheme="minorHAnsi"/>
                <w:sz w:val="28"/>
                <w:szCs w:val="28"/>
                <w:lang w:eastAsia="en-US"/>
              </w:rPr>
              <w:t xml:space="preserve"> нестационарных объектов по предоставлению услуг</w:t>
            </w:r>
            <w:r w:rsidRPr="0074026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соответствии с утвержденным</w:t>
            </w:r>
            <w:r w:rsidR="00E76E0D" w:rsidRPr="00B30115">
              <w:rPr>
                <w:sz w:val="28"/>
                <w:szCs w:val="28"/>
              </w:rPr>
              <w:t xml:space="preserve"> </w:t>
            </w:r>
            <w:r w:rsidR="00E76E0D" w:rsidRPr="00B30115">
              <w:rPr>
                <w:sz w:val="28"/>
                <w:szCs w:val="28"/>
              </w:rPr>
              <w:t>перечн</w:t>
            </w:r>
            <w:r w:rsidR="00E76E0D">
              <w:rPr>
                <w:sz w:val="28"/>
                <w:szCs w:val="28"/>
              </w:rPr>
              <w:t>ем</w:t>
            </w:r>
            <w:r w:rsidR="00E76E0D" w:rsidRPr="00B30115">
              <w:rPr>
                <w:sz w:val="28"/>
                <w:szCs w:val="28"/>
              </w:rPr>
              <w:t xml:space="preserve">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      </w:r>
            <w:r w:rsidR="00E76E0D">
              <w:rPr>
                <w:sz w:val="28"/>
                <w:szCs w:val="28"/>
              </w:rPr>
              <w:t>;</w:t>
            </w:r>
            <w:proofErr w:type="gramEnd"/>
          </w:p>
          <w:p w:rsidR="00E76E0D" w:rsidRDefault="00E76E0D" w:rsidP="00E76E0D">
            <w:pPr>
              <w:pStyle w:val="p4"/>
              <w:spacing w:before="0" w:beforeAutospacing="0" w:after="0" w:afterAutospacing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обеспечение населения товарами и услугами в местах отдыха и </w:t>
            </w:r>
            <w:r w:rsidRPr="00B30115">
              <w:rPr>
                <w:sz w:val="28"/>
                <w:szCs w:val="28"/>
              </w:rPr>
              <w:t>проведения мероприятий, имеющих краткосрочный характер (до 15 дней)</w:t>
            </w:r>
            <w:r>
              <w:rPr>
                <w:sz w:val="28"/>
                <w:szCs w:val="28"/>
              </w:rPr>
              <w:t>;</w:t>
            </w:r>
          </w:p>
          <w:p w:rsidR="00740261" w:rsidRPr="00740261" w:rsidRDefault="00740261" w:rsidP="00740261">
            <w:pPr>
              <w:spacing w:after="200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026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40261">
              <w:rPr>
                <w:rFonts w:eastAsiaTheme="minorHAnsi"/>
                <w:sz w:val="28"/>
                <w:szCs w:val="28"/>
                <w:lang w:eastAsia="en-US"/>
              </w:rPr>
              <w:t>предоставлению равных возможностей субъектам предпринимательской деятельности, обеспечению безопасных услуг торговли</w:t>
            </w:r>
          </w:p>
          <w:p w:rsidR="00B1428C" w:rsidRPr="00791C2C" w:rsidRDefault="00B1428C" w:rsidP="00C57736">
            <w:pPr>
              <w:pStyle w:val="p7"/>
              <w:spacing w:before="0" w:beforeAutospacing="0" w:after="0" w:afterAutospacing="0"/>
              <w:ind w:firstLine="3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428C" w:rsidRPr="00791C2C" w:rsidTr="00B93C53">
        <w:trPr>
          <w:gridAfter w:val="1"/>
          <w:wAfter w:w="2268" w:type="dxa"/>
          <w:trHeight w:val="30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Оценка негативных эффектов, возникающих в связи с наличием  рассматриваемой проблемы, и описание способа ее решения</w:t>
            </w:r>
          </w:p>
        </w:tc>
        <w:tc>
          <w:tcPr>
            <w:tcW w:w="4677" w:type="dxa"/>
          </w:tcPr>
          <w:p w:rsidR="00B1428C" w:rsidRPr="00791C2C" w:rsidRDefault="00B1428C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53" w:rsidRPr="00791C2C" w:rsidTr="00B93C53">
        <w:trPr>
          <w:trHeight w:val="18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целей предлагаемого регулирования и их соответствие принципам правового регулирования                                         </w:t>
            </w:r>
          </w:p>
        </w:tc>
        <w:tc>
          <w:tcPr>
            <w:tcW w:w="4677" w:type="dxa"/>
          </w:tcPr>
          <w:p w:rsidR="00B93C53" w:rsidRPr="00E21748" w:rsidRDefault="00B93C53" w:rsidP="00C62B30">
            <w:pPr>
              <w:autoSpaceDE w:val="0"/>
              <w:autoSpaceDN w:val="0"/>
              <w:adjustRightInd w:val="0"/>
              <w:spacing w:before="280"/>
              <w:ind w:left="142" w:right="142" w:firstLine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3C53" w:rsidRPr="00146E41" w:rsidRDefault="00B93C53" w:rsidP="001C7B0A">
            <w:pPr>
              <w:widowControl w:val="0"/>
              <w:autoSpaceDE w:val="0"/>
              <w:snapToGrid w:val="0"/>
              <w:ind w:left="-108" w:right="142" w:firstLine="250"/>
              <w:rPr>
                <w:sz w:val="28"/>
                <w:szCs w:val="28"/>
              </w:rPr>
            </w:pPr>
          </w:p>
        </w:tc>
      </w:tr>
      <w:tr w:rsidR="00B93C53" w:rsidRPr="00791C2C" w:rsidTr="00B93C53">
        <w:trPr>
          <w:gridAfter w:val="1"/>
          <w:wAfter w:w="2268" w:type="dxa"/>
          <w:trHeight w:val="285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6" w:type="dxa"/>
          </w:tcPr>
          <w:p w:rsidR="00B93C53" w:rsidRPr="00791C2C" w:rsidRDefault="00B93C53" w:rsidP="00C577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Новые функции, полномочия, обязанности и права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отраслевых (функциональных) органов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Совета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а также порядок их реализации (далее - органы  власти района)</w:t>
            </w:r>
          </w:p>
        </w:tc>
        <w:tc>
          <w:tcPr>
            <w:tcW w:w="4677" w:type="dxa"/>
          </w:tcPr>
          <w:p w:rsidR="00E76E0D" w:rsidRDefault="00B93C53" w:rsidP="00E76E0D">
            <w:pPr>
              <w:pStyle w:val="p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 xml:space="preserve">мониторинга исполнения </w:t>
            </w:r>
            <w:r w:rsidRPr="006041DA">
              <w:rPr>
                <w:sz w:val="28"/>
                <w:szCs w:val="28"/>
              </w:rPr>
              <w:t>постановления администрации Советского городского округа Ставропольского</w:t>
            </w:r>
            <w:proofErr w:type="gramEnd"/>
            <w:r w:rsidRPr="006041DA">
              <w:rPr>
                <w:sz w:val="28"/>
                <w:szCs w:val="28"/>
              </w:rPr>
              <w:t xml:space="preserve"> края </w:t>
            </w:r>
            <w:r w:rsidR="00E76E0D">
              <w:rPr>
                <w:sz w:val="28"/>
                <w:szCs w:val="28"/>
              </w:rPr>
              <w:t>«</w:t>
            </w:r>
            <w:r w:rsidR="00E76E0D" w:rsidRPr="00B30115">
              <w:rPr>
                <w:sz w:val="28"/>
                <w:szCs w:val="28"/>
              </w:rPr>
              <w:t xml:space="preserve">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</w:t>
            </w:r>
            <w:r w:rsidR="00E76E0D" w:rsidRPr="00B30115">
              <w:rPr>
                <w:sz w:val="28"/>
                <w:szCs w:val="28"/>
              </w:rPr>
              <w:lastRenderedPageBreak/>
              <w:t>дней)</w:t>
            </w:r>
            <w:r w:rsidR="00E76E0D">
              <w:rPr>
                <w:sz w:val="28"/>
                <w:szCs w:val="28"/>
              </w:rPr>
              <w:t>»</w:t>
            </w:r>
          </w:p>
          <w:p w:rsidR="00B93C53" w:rsidRDefault="00B93C53" w:rsidP="00E768C1">
            <w:pPr>
              <w:ind w:left="33"/>
            </w:pPr>
            <w:r w:rsidRPr="00C21BE4">
              <w:rPr>
                <w:sz w:val="28"/>
                <w:szCs w:val="28"/>
              </w:rPr>
              <w:t>края</w:t>
            </w:r>
            <w:r>
              <w:rPr>
                <w:sz w:val="28"/>
                <w:szCs w:val="28"/>
              </w:rPr>
              <w:t xml:space="preserve">».  </w:t>
            </w:r>
          </w:p>
          <w:p w:rsidR="00B93C53" w:rsidRPr="00791C2C" w:rsidRDefault="00B93C53" w:rsidP="005F2F63">
            <w:pPr>
              <w:rPr>
                <w:sz w:val="28"/>
                <w:szCs w:val="28"/>
              </w:rPr>
            </w:pPr>
          </w:p>
        </w:tc>
      </w:tr>
      <w:tr w:rsidR="00B93C53" w:rsidRPr="00791C2C" w:rsidTr="00B93C53">
        <w:trPr>
          <w:gridAfter w:val="1"/>
          <w:wAfter w:w="2268" w:type="dxa"/>
          <w:trHeight w:val="360"/>
        </w:trPr>
        <w:tc>
          <w:tcPr>
            <w:tcW w:w="756" w:type="dxa"/>
          </w:tcPr>
          <w:p w:rsidR="00B93C53" w:rsidRPr="00791C2C" w:rsidRDefault="00B93C53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lastRenderedPageBreak/>
              <w:t xml:space="preserve">   7.</w:t>
            </w:r>
          </w:p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93C53" w:rsidRPr="00791C2C" w:rsidRDefault="00B93C53" w:rsidP="005F2F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бюджета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77" w:type="dxa"/>
          </w:tcPr>
          <w:p w:rsidR="00B93C53" w:rsidRPr="00791C2C" w:rsidRDefault="00B93C53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</w:tr>
      <w:tr w:rsidR="00B93C53" w:rsidRPr="00791C2C" w:rsidTr="00B93C53">
        <w:trPr>
          <w:gridAfter w:val="1"/>
          <w:wAfter w:w="2268" w:type="dxa"/>
          <w:trHeight w:val="135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Новые обязанности или ограничения для субъектов предпринимательской</w:t>
            </w:r>
            <w:proofErr w:type="gramEnd"/>
          </w:p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 или изменение содержания существующих      обязанностей и ограничений, а также порядок организации их исполнения</w:t>
            </w:r>
          </w:p>
        </w:tc>
        <w:tc>
          <w:tcPr>
            <w:tcW w:w="4677" w:type="dxa"/>
          </w:tcPr>
          <w:p w:rsidR="003933BF" w:rsidRPr="000C18F4" w:rsidRDefault="003933BF" w:rsidP="003933BF">
            <w:pPr>
              <w:widowControl w:val="0"/>
              <w:autoSpaceDE w:val="0"/>
              <w:snapToGrid w:val="0"/>
              <w:ind w:left="142" w:right="142"/>
            </w:pPr>
            <w:proofErr w:type="gramStart"/>
            <w:r w:rsidRPr="000C18F4">
              <w:t xml:space="preserve">Плата за выдачу разрешений на право размещения нестационарных объектов в дни проведения мероприятий, имеющих краткосрочный характер (до 15 дней) не взимается, в соответствии с пунктом 58 </w:t>
            </w:r>
            <w:r w:rsidRPr="000C18F4">
              <w:rPr>
                <w:rFonts w:eastAsiaTheme="minorHAnsi"/>
                <w:lang w:eastAsia="en-US"/>
              </w:rPr>
              <w:t>раздела Х. «Порядок выдачи разрешений, заключения договоров на право размещения нестационарных объектов в дни проведения мероприятий, имеющих краткосрочный характер», Порядка размещения и использования нестационарных торговых объектов, нестационарных объектов по предоставлению услуг на территории Советского</w:t>
            </w:r>
            <w:proofErr w:type="gramEnd"/>
            <w:r w:rsidRPr="000C18F4">
              <w:rPr>
                <w:rFonts w:eastAsiaTheme="minorHAnsi"/>
                <w:lang w:eastAsia="en-US"/>
              </w:rPr>
              <w:t xml:space="preserve"> городского округа Ставропольского края, утвержденный постановлением администрации Советского городского округа Ставропольского края от 27 марта 2018 г. № 326 «О размещении и использовании нестационарных торговых объектов, нестационарных объектов по предоставлению услуг на территории Советского городского округа Ставропольского края» (с изменениями)</w:t>
            </w:r>
          </w:p>
          <w:p w:rsidR="00B93C53" w:rsidRPr="00E768C1" w:rsidRDefault="00B93C53" w:rsidP="00214C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53" w:rsidRPr="00791C2C" w:rsidTr="00B93C53">
        <w:trPr>
          <w:gridAfter w:val="1"/>
          <w:wAfter w:w="2268" w:type="dxa"/>
          <w:trHeight w:val="33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рисков решения проблемы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предложенным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регулирования и рисков негативных последствий                                        </w:t>
            </w:r>
          </w:p>
        </w:tc>
        <w:tc>
          <w:tcPr>
            <w:tcW w:w="4677" w:type="dxa"/>
          </w:tcPr>
          <w:p w:rsidR="00B93C53" w:rsidRPr="00791C2C" w:rsidRDefault="00B93C53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93C53" w:rsidRPr="00791C2C" w:rsidTr="00B93C53">
        <w:trPr>
          <w:gridAfter w:val="1"/>
          <w:wAfter w:w="2268" w:type="dxa"/>
          <w:trHeight w:val="36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6" w:type="dxa"/>
          </w:tcPr>
          <w:p w:rsidR="00B93C53" w:rsidRPr="00791C2C" w:rsidRDefault="00B93C53" w:rsidP="00BA466C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размещении уведомления, сроке, в течение которого   разработчиком проекта нормативного правового акта принимались предложения, органах            власти  района, органах местного самоуправления и          организациях, извещенных о размещении уведомления о подготовке проекта  нормативного правового акта                                                        </w:t>
            </w:r>
          </w:p>
        </w:tc>
        <w:tc>
          <w:tcPr>
            <w:tcW w:w="4677" w:type="dxa"/>
          </w:tcPr>
          <w:p w:rsidR="00B93C53" w:rsidRPr="00E768C1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E768C1">
              <w:rPr>
                <w:sz w:val="28"/>
                <w:szCs w:val="28"/>
              </w:rPr>
              <w:t xml:space="preserve">Уведомление размещено </w:t>
            </w:r>
            <w:r w:rsidR="00095110">
              <w:rPr>
                <w:sz w:val="28"/>
                <w:szCs w:val="28"/>
              </w:rPr>
              <w:t>10</w:t>
            </w:r>
            <w:r w:rsidR="003933BF">
              <w:rPr>
                <w:sz w:val="28"/>
                <w:szCs w:val="28"/>
              </w:rPr>
              <w:t>.01.2022</w:t>
            </w:r>
            <w:r w:rsidRPr="00E768C1">
              <w:rPr>
                <w:sz w:val="28"/>
                <w:szCs w:val="28"/>
              </w:rPr>
              <w:t xml:space="preserve"> г., предложения принимались: </w:t>
            </w:r>
          </w:p>
          <w:p w:rsidR="00B93C53" w:rsidRPr="00E768C1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E768C1">
              <w:rPr>
                <w:sz w:val="28"/>
                <w:szCs w:val="28"/>
              </w:rPr>
              <w:t xml:space="preserve">с « </w:t>
            </w:r>
            <w:r w:rsidR="00095110">
              <w:rPr>
                <w:sz w:val="28"/>
                <w:szCs w:val="28"/>
              </w:rPr>
              <w:t>10</w:t>
            </w:r>
            <w:r w:rsidRPr="00E768C1">
              <w:rPr>
                <w:sz w:val="28"/>
                <w:szCs w:val="28"/>
              </w:rPr>
              <w:t xml:space="preserve">» </w:t>
            </w:r>
            <w:r w:rsidR="003933BF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933BF">
              <w:rPr>
                <w:sz w:val="28"/>
                <w:szCs w:val="28"/>
              </w:rPr>
              <w:t>2</w:t>
            </w:r>
            <w:r w:rsidRPr="00E768C1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«</w:t>
            </w:r>
            <w:r w:rsidR="00095110">
              <w:rPr>
                <w:sz w:val="28"/>
                <w:szCs w:val="28"/>
              </w:rPr>
              <w:t>25</w:t>
            </w:r>
            <w:r w:rsidRPr="00E768C1">
              <w:rPr>
                <w:sz w:val="28"/>
                <w:szCs w:val="28"/>
              </w:rPr>
              <w:t xml:space="preserve">» </w:t>
            </w:r>
            <w:r w:rsidR="00095110">
              <w:rPr>
                <w:sz w:val="28"/>
                <w:szCs w:val="28"/>
              </w:rPr>
              <w:t>января</w:t>
            </w:r>
            <w:r w:rsidR="003933BF"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933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г.</w:t>
            </w:r>
          </w:p>
          <w:p w:rsidR="00B93C53" w:rsidRPr="00791C2C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>Извещения направлены:</w:t>
            </w:r>
          </w:p>
          <w:p w:rsidR="00B93C53" w:rsidRDefault="00B93C53" w:rsidP="00BA4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Территориальным отделам администрации Советского городского округа Ставропольского края;</w:t>
            </w:r>
          </w:p>
          <w:p w:rsidR="00B93C53" w:rsidRDefault="00B93C53" w:rsidP="00C4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Управлению имущественных и земельных отношений </w:t>
            </w:r>
            <w:r>
              <w:rPr>
                <w:sz w:val="28"/>
                <w:szCs w:val="28"/>
              </w:rPr>
              <w:lastRenderedPageBreak/>
              <w:t>администрации Советского городского округа Ставропольского края</w:t>
            </w:r>
          </w:p>
          <w:p w:rsidR="00B93C53" w:rsidRDefault="00B93C53" w:rsidP="00C4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Отделу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93C53" w:rsidRPr="00791C2C" w:rsidRDefault="00B93C53" w:rsidP="0038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Индивидуальным предпринимателям, юридическим лицам Советского городского округа</w:t>
            </w:r>
          </w:p>
        </w:tc>
      </w:tr>
      <w:tr w:rsidR="00B93C53" w:rsidRPr="00791C2C" w:rsidTr="00B93C53">
        <w:trPr>
          <w:gridAfter w:val="1"/>
          <w:wAfter w:w="2268" w:type="dxa"/>
          <w:trHeight w:val="555"/>
        </w:trPr>
        <w:tc>
          <w:tcPr>
            <w:tcW w:w="756" w:type="dxa"/>
          </w:tcPr>
          <w:p w:rsidR="00B93C53" w:rsidRPr="00791C2C" w:rsidRDefault="00B93C53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46" w:type="dxa"/>
          </w:tcPr>
          <w:p w:rsidR="00B93C53" w:rsidRPr="00791C2C" w:rsidRDefault="00B93C53" w:rsidP="00BA466C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 по проекту нормативного правового акта, сроках проведения таких публичных консультаций, органах  власти   района, органах местного самоуправления, и   организациях, извещенных о проведении публичных консультаций по проекту нормативного правового акта</w:t>
            </w:r>
          </w:p>
        </w:tc>
        <w:tc>
          <w:tcPr>
            <w:tcW w:w="4677" w:type="dxa"/>
          </w:tcPr>
          <w:p w:rsidR="00B93C53" w:rsidRDefault="00B93C53" w:rsidP="00BA46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размещено </w:t>
            </w:r>
            <w:r w:rsidR="00095110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 w:rsidR="001C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95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г., замечания и  предложения принимались: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C53" w:rsidRDefault="00B93C53" w:rsidP="00BA46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r w:rsidR="001C39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  <w:r w:rsidR="001C395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1C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3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93C53" w:rsidRPr="00E768C1" w:rsidRDefault="00B93C53" w:rsidP="00BA466C">
            <w:pPr>
              <w:pStyle w:val="ConsPlusNonformat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1C39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1C395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3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93C53" w:rsidRPr="00791C2C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>Извещения направлены:</w:t>
            </w:r>
          </w:p>
          <w:p w:rsidR="00B93C53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Территориальным отделам администрации Советского городского округа Ставропольского края;</w:t>
            </w:r>
          </w:p>
          <w:p w:rsidR="00B93C53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Управлению имущественных и земельных отношений администрации Советского городского округа Ставропольского края</w:t>
            </w:r>
          </w:p>
          <w:p w:rsidR="00B93C53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Отделу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93C53" w:rsidRPr="00791C2C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Индивидуальным предпринимателям, юридическим лицам Советского района</w:t>
            </w:r>
          </w:p>
        </w:tc>
      </w:tr>
      <w:tr w:rsidR="00B93C53" w:rsidRPr="00791C2C" w:rsidTr="00B93C53">
        <w:trPr>
          <w:gridAfter w:val="1"/>
          <w:wAfter w:w="2268" w:type="dxa"/>
          <w:trHeight w:val="36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введения регулирования, оценка необходимости</w:t>
            </w:r>
            <w:r w:rsidRPr="00791C2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 и (или) отсрочки вступления в силу нормативного правового акта либо необходимость распространения предлагаемого регулирования на ранее  возникшие отношения</w:t>
            </w:r>
          </w:p>
        </w:tc>
        <w:tc>
          <w:tcPr>
            <w:tcW w:w="4677" w:type="dxa"/>
          </w:tcPr>
          <w:p w:rsidR="00B93C53" w:rsidRDefault="00B50DC8" w:rsidP="004932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93C53" w:rsidRPr="00A24007">
              <w:rPr>
                <w:rFonts w:ascii="Times New Roman" w:hAnsi="Times New Roman" w:cs="Times New Roman"/>
                <w:sz w:val="28"/>
                <w:szCs w:val="28"/>
              </w:rPr>
              <w:t>а следующий день после дня его официального обнародования</w:t>
            </w:r>
            <w:r w:rsidR="00B93C53">
              <w:rPr>
                <w:rFonts w:ascii="Times New Roman" w:hAnsi="Times New Roman" w:cs="Times New Roman"/>
                <w:sz w:val="28"/>
                <w:szCs w:val="28"/>
              </w:rPr>
              <w:t xml:space="preserve"> в форме размещения в сетевом </w:t>
            </w:r>
            <w:r w:rsidR="00B93C53" w:rsidRPr="004932C7">
              <w:rPr>
                <w:rFonts w:ascii="Times New Roman" w:hAnsi="Times New Roman" w:cs="Times New Roman"/>
                <w:sz w:val="28"/>
                <w:szCs w:val="28"/>
              </w:rPr>
              <w:t>издании-сайте муниципальных правовых актов Советского городского округа Ставропольского края «</w:t>
            </w:r>
            <w:hyperlink r:id="rId5" w:history="1">
              <w:r w:rsidR="00B93C53" w:rsidRPr="004932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B93C53" w:rsidRPr="004932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://сгоск.рф</w:t>
              </w:r>
            </w:hyperlink>
            <w:r w:rsidR="00B93C53"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«Официальное обнародование муниципальных нормативных правовых </w:t>
            </w:r>
            <w:r w:rsidR="00B93C53" w:rsidRPr="00556FF6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B93C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93C53" w:rsidRPr="00791C2C" w:rsidRDefault="00B93C53" w:rsidP="004932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Переходный период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устанавливается.</w:t>
            </w:r>
          </w:p>
        </w:tc>
      </w:tr>
      <w:tr w:rsidR="00B93C53" w:rsidRPr="00791C2C" w:rsidTr="00B93C53">
        <w:trPr>
          <w:gridAfter w:val="1"/>
          <w:wAfter w:w="2268" w:type="dxa"/>
          <w:trHeight w:val="1068"/>
        </w:trPr>
        <w:tc>
          <w:tcPr>
            <w:tcW w:w="756" w:type="dxa"/>
          </w:tcPr>
          <w:p w:rsidR="00B93C53" w:rsidRPr="00791C2C" w:rsidRDefault="00B93C53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93C53" w:rsidRPr="00791C2C" w:rsidRDefault="00B93C53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  13.</w:t>
            </w:r>
          </w:p>
          <w:p w:rsidR="00B93C53" w:rsidRPr="00791C2C" w:rsidRDefault="00B93C53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93C53" w:rsidRPr="00791C2C" w:rsidRDefault="00B93C53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которые, по мнению разработчика проекта нормативного правового акта, позволяют оценить обоснованность предлагаемого варианта регулирования</w:t>
            </w:r>
          </w:p>
        </w:tc>
        <w:tc>
          <w:tcPr>
            <w:tcW w:w="4677" w:type="dxa"/>
          </w:tcPr>
          <w:p w:rsidR="00B93C53" w:rsidRPr="00791C2C" w:rsidRDefault="00B93C53" w:rsidP="004143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</w:tbl>
    <w:p w:rsidR="00B1428C" w:rsidRPr="00791C2C" w:rsidRDefault="00B1428C" w:rsidP="00B1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791C2C" w:rsidRDefault="0016136E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>Н</w:t>
      </w:r>
      <w:r w:rsidR="009B094A" w:rsidRPr="00791C2C">
        <w:rPr>
          <w:sz w:val="28"/>
          <w:szCs w:val="28"/>
        </w:rPr>
        <w:t xml:space="preserve">ачальник отдела экономического </w:t>
      </w:r>
    </w:p>
    <w:p w:rsidR="009B094A" w:rsidRPr="00791C2C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развития администрации Советского </w:t>
      </w:r>
    </w:p>
    <w:p w:rsidR="009B094A" w:rsidRPr="00791C2C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9B094A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Ставропольского края                                                             </w:t>
      </w:r>
      <w:r w:rsidR="0016136E" w:rsidRPr="00791C2C">
        <w:rPr>
          <w:sz w:val="28"/>
          <w:szCs w:val="28"/>
        </w:rPr>
        <w:t>Л.А.Шевченко</w:t>
      </w:r>
    </w:p>
    <w:p w:rsidR="00E768C1" w:rsidRPr="00791C2C" w:rsidRDefault="00E768C1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9B094A" w:rsidRPr="00791C2C" w:rsidRDefault="00F534C4" w:rsidP="009B094A">
      <w:pPr>
        <w:autoSpaceDE w:val="0"/>
        <w:autoSpaceDN w:val="0"/>
        <w:adjustRightInd w:val="0"/>
        <w:spacing w:line="240" w:lineRule="exact"/>
        <w:contextualSpacing/>
        <w:jc w:val="both"/>
      </w:pPr>
      <w:r>
        <w:t>Кашина Г.В</w:t>
      </w:r>
      <w:r w:rsidR="007B2032">
        <w:t>.</w:t>
      </w:r>
      <w:bookmarkStart w:id="0" w:name="_GoBack"/>
      <w:bookmarkEnd w:id="0"/>
      <w:r w:rsidR="00E768C1">
        <w:t xml:space="preserve"> </w:t>
      </w:r>
      <w:r w:rsidR="009B094A" w:rsidRPr="00791C2C">
        <w:t>(8865-52) 6-</w:t>
      </w:r>
      <w:r w:rsidR="00E345CE">
        <w:t>15-48</w:t>
      </w:r>
    </w:p>
    <w:sectPr w:rsidR="009B094A" w:rsidRPr="00791C2C" w:rsidSect="00EE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28C"/>
    <w:rsid w:val="000214F3"/>
    <w:rsid w:val="000517DE"/>
    <w:rsid w:val="00094FB8"/>
    <w:rsid w:val="00095110"/>
    <w:rsid w:val="000C5A65"/>
    <w:rsid w:val="000D6EB6"/>
    <w:rsid w:val="000E013C"/>
    <w:rsid w:val="0016136E"/>
    <w:rsid w:val="0016613B"/>
    <w:rsid w:val="001C3957"/>
    <w:rsid w:val="001C7B0A"/>
    <w:rsid w:val="00214CDE"/>
    <w:rsid w:val="00222636"/>
    <w:rsid w:val="0022268D"/>
    <w:rsid w:val="00272CC6"/>
    <w:rsid w:val="002E5211"/>
    <w:rsid w:val="0031543C"/>
    <w:rsid w:val="00373DF9"/>
    <w:rsid w:val="0038599A"/>
    <w:rsid w:val="003933BF"/>
    <w:rsid w:val="003A6252"/>
    <w:rsid w:val="00407B8A"/>
    <w:rsid w:val="00414362"/>
    <w:rsid w:val="00440C6A"/>
    <w:rsid w:val="00446C18"/>
    <w:rsid w:val="004932C7"/>
    <w:rsid w:val="004B3CF8"/>
    <w:rsid w:val="004B4266"/>
    <w:rsid w:val="004D3DEE"/>
    <w:rsid w:val="005246E6"/>
    <w:rsid w:val="00562960"/>
    <w:rsid w:val="005F2F63"/>
    <w:rsid w:val="0066150E"/>
    <w:rsid w:val="00714450"/>
    <w:rsid w:val="00740261"/>
    <w:rsid w:val="0074387E"/>
    <w:rsid w:val="00791C2C"/>
    <w:rsid w:val="007B2032"/>
    <w:rsid w:val="00835D09"/>
    <w:rsid w:val="00844035"/>
    <w:rsid w:val="008A0988"/>
    <w:rsid w:val="00933CFD"/>
    <w:rsid w:val="009B094A"/>
    <w:rsid w:val="009F3E94"/>
    <w:rsid w:val="00A0692B"/>
    <w:rsid w:val="00A34D14"/>
    <w:rsid w:val="00AF2107"/>
    <w:rsid w:val="00B1428C"/>
    <w:rsid w:val="00B50DC8"/>
    <w:rsid w:val="00B93C53"/>
    <w:rsid w:val="00BA466C"/>
    <w:rsid w:val="00BE3AD6"/>
    <w:rsid w:val="00C12080"/>
    <w:rsid w:val="00C41CB1"/>
    <w:rsid w:val="00C57736"/>
    <w:rsid w:val="00C60304"/>
    <w:rsid w:val="00C944B2"/>
    <w:rsid w:val="00CF0ECC"/>
    <w:rsid w:val="00D369F6"/>
    <w:rsid w:val="00D40D0D"/>
    <w:rsid w:val="00D56EE1"/>
    <w:rsid w:val="00DD1742"/>
    <w:rsid w:val="00DF0935"/>
    <w:rsid w:val="00E07208"/>
    <w:rsid w:val="00E345CE"/>
    <w:rsid w:val="00E5412D"/>
    <w:rsid w:val="00E768C1"/>
    <w:rsid w:val="00E76E0D"/>
    <w:rsid w:val="00E87DF7"/>
    <w:rsid w:val="00EE6A75"/>
    <w:rsid w:val="00F534C4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2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7">
    <w:name w:val="p7"/>
    <w:basedOn w:val="a"/>
    <w:rsid w:val="00373DF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76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D14"/>
    <w:rPr>
      <w:color w:val="0000FF" w:themeColor="hyperlink"/>
      <w:u w:val="single"/>
    </w:rPr>
  </w:style>
  <w:style w:type="paragraph" w:customStyle="1" w:styleId="p4">
    <w:name w:val="p4"/>
    <w:basedOn w:val="a"/>
    <w:rsid w:val="00C944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65</cp:revision>
  <cp:lastPrinted>2018-03-13T07:38:00Z</cp:lastPrinted>
  <dcterms:created xsi:type="dcterms:W3CDTF">2016-06-01T06:48:00Z</dcterms:created>
  <dcterms:modified xsi:type="dcterms:W3CDTF">2022-02-07T07:04:00Z</dcterms:modified>
</cp:coreProperties>
</file>