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DD72C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DD72CC">
        <w:rPr>
          <w:rFonts w:ascii="Times New Roman" w:hAnsi="Times New Roman" w:cs="Times New Roman"/>
          <w:sz w:val="28"/>
          <w:szCs w:val="28"/>
        </w:rPr>
        <w:t>ОТЧЕТ</w:t>
      </w:r>
    </w:p>
    <w:p w:rsidR="00F865E1" w:rsidRPr="00DD72CC" w:rsidRDefault="00B1428C" w:rsidP="00F865E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72CC">
        <w:rPr>
          <w:sz w:val="28"/>
          <w:szCs w:val="28"/>
        </w:rPr>
        <w:t xml:space="preserve">о проведении </w:t>
      </w:r>
      <w:proofErr w:type="gramStart"/>
      <w:r w:rsidRPr="00DD72CC">
        <w:rPr>
          <w:sz w:val="28"/>
          <w:szCs w:val="28"/>
        </w:rPr>
        <w:t xml:space="preserve">оценки регулирующего воздействия </w:t>
      </w:r>
      <w:r w:rsidR="0048259A" w:rsidRPr="00DD72CC">
        <w:rPr>
          <w:sz w:val="28"/>
          <w:szCs w:val="28"/>
        </w:rPr>
        <w:t xml:space="preserve">проекта </w:t>
      </w:r>
      <w:r w:rsidR="00F865E1" w:rsidRPr="00DD72CC">
        <w:rPr>
          <w:sz w:val="28"/>
          <w:szCs w:val="28"/>
        </w:rPr>
        <w:t>постановления администрации  Советского городского округа Ставропольского</w:t>
      </w:r>
      <w:proofErr w:type="gramEnd"/>
      <w:r w:rsidR="00F865E1" w:rsidRPr="00DD72CC">
        <w:rPr>
          <w:sz w:val="28"/>
          <w:szCs w:val="28"/>
        </w:rPr>
        <w:t xml:space="preserve"> края «</w:t>
      </w:r>
      <w:r w:rsidR="00E07399" w:rsidRPr="00451795">
        <w:rPr>
          <w:sz w:val="28"/>
          <w:szCs w:val="28"/>
        </w:rPr>
        <w:t xml:space="preserve">Об утверждении формы </w:t>
      </w:r>
      <w:r w:rsidR="00E07399">
        <w:rPr>
          <w:sz w:val="28"/>
          <w:szCs w:val="28"/>
        </w:rPr>
        <w:t>п</w:t>
      </w:r>
      <w:r w:rsidR="00E07399" w:rsidRPr="00451795">
        <w:rPr>
          <w:sz w:val="28"/>
          <w:szCs w:val="28"/>
          <w:lang w:eastAsia="en-US"/>
        </w:rPr>
        <w:t>роверочн</w:t>
      </w:r>
      <w:r w:rsidR="00E07399">
        <w:rPr>
          <w:sz w:val="28"/>
          <w:szCs w:val="28"/>
          <w:lang w:eastAsia="en-US"/>
        </w:rPr>
        <w:t>ого</w:t>
      </w:r>
      <w:r w:rsidR="00E07399" w:rsidRPr="00451795">
        <w:rPr>
          <w:sz w:val="28"/>
          <w:szCs w:val="28"/>
          <w:lang w:eastAsia="en-US"/>
        </w:rPr>
        <w:t xml:space="preserve"> лист</w:t>
      </w:r>
      <w:r w:rsidR="00E07399">
        <w:rPr>
          <w:sz w:val="28"/>
          <w:szCs w:val="28"/>
          <w:lang w:eastAsia="en-US"/>
        </w:rPr>
        <w:t>а</w:t>
      </w:r>
      <w:r w:rsidR="00E07399" w:rsidRPr="00451795">
        <w:rPr>
          <w:sz w:val="28"/>
          <w:szCs w:val="28"/>
          <w:lang w:eastAsia="en-US"/>
        </w:rPr>
        <w:t xml:space="preserve"> (списк</w:t>
      </w:r>
      <w:r w:rsidR="00E07399">
        <w:rPr>
          <w:sz w:val="28"/>
          <w:szCs w:val="28"/>
          <w:lang w:eastAsia="en-US"/>
        </w:rPr>
        <w:t>а</w:t>
      </w:r>
      <w:r w:rsidR="00E07399" w:rsidRPr="00451795">
        <w:rPr>
          <w:sz w:val="28"/>
          <w:szCs w:val="28"/>
          <w:lang w:eastAsia="en-US"/>
        </w:rPr>
        <w:t xml:space="preserve"> контрольных вопросов),</w:t>
      </w:r>
      <w:r w:rsidR="002F0800">
        <w:rPr>
          <w:sz w:val="28"/>
          <w:szCs w:val="28"/>
          <w:lang w:eastAsia="en-US"/>
        </w:rPr>
        <w:t xml:space="preserve"> </w:t>
      </w:r>
      <w:r w:rsidR="00E07399">
        <w:rPr>
          <w:sz w:val="28"/>
          <w:szCs w:val="28"/>
          <w:lang w:eastAsia="en-US"/>
        </w:rPr>
        <w:t>применяемых</w:t>
      </w:r>
      <w:r w:rsidR="00E07399" w:rsidRPr="00451795">
        <w:rPr>
          <w:sz w:val="28"/>
          <w:szCs w:val="28"/>
          <w:lang w:eastAsia="en-US"/>
        </w:rPr>
        <w:t xml:space="preserve"> при осуществлении </w:t>
      </w:r>
      <w:r w:rsidR="00E07399">
        <w:rPr>
          <w:sz w:val="28"/>
          <w:szCs w:val="28"/>
          <w:lang w:eastAsia="en-US"/>
        </w:rPr>
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F865E1" w:rsidRPr="00DD72CC">
        <w:rPr>
          <w:sz w:val="28"/>
          <w:szCs w:val="28"/>
        </w:rPr>
        <w:t xml:space="preserve">» </w:t>
      </w:r>
    </w:p>
    <w:p w:rsidR="0048259A" w:rsidRPr="00DD72CC" w:rsidRDefault="0048259A" w:rsidP="00F865E1">
      <w:pPr>
        <w:contextualSpacing/>
        <w:jc w:val="center"/>
        <w:rPr>
          <w:sz w:val="28"/>
          <w:szCs w:val="28"/>
        </w:rPr>
      </w:pPr>
    </w:p>
    <w:p w:rsidR="00B1428C" w:rsidRPr="00925E79" w:rsidRDefault="0048259A" w:rsidP="00F865E1">
      <w:pPr>
        <w:contextualSpacing/>
        <w:jc w:val="right"/>
        <w:rPr>
          <w:sz w:val="28"/>
          <w:szCs w:val="28"/>
        </w:rPr>
      </w:pPr>
      <w:r w:rsidRPr="00925E79">
        <w:rPr>
          <w:sz w:val="28"/>
          <w:szCs w:val="28"/>
        </w:rPr>
        <w:t>2</w:t>
      </w:r>
      <w:r w:rsidR="002F0800" w:rsidRPr="00925E79">
        <w:rPr>
          <w:sz w:val="28"/>
          <w:szCs w:val="28"/>
        </w:rPr>
        <w:t>5</w:t>
      </w:r>
      <w:r w:rsidR="00925E79" w:rsidRPr="00925E79">
        <w:rPr>
          <w:sz w:val="28"/>
          <w:szCs w:val="28"/>
        </w:rPr>
        <w:t xml:space="preserve"> </w:t>
      </w:r>
      <w:r w:rsidR="00433CCC" w:rsidRPr="00925E79">
        <w:rPr>
          <w:sz w:val="28"/>
          <w:szCs w:val="28"/>
        </w:rPr>
        <w:t>февраля</w:t>
      </w:r>
      <w:r w:rsidRPr="00925E79">
        <w:rPr>
          <w:sz w:val="28"/>
          <w:szCs w:val="28"/>
        </w:rPr>
        <w:t xml:space="preserve"> 202</w:t>
      </w:r>
      <w:r w:rsidR="00433CCC" w:rsidRPr="00925E79">
        <w:rPr>
          <w:sz w:val="28"/>
          <w:szCs w:val="28"/>
        </w:rPr>
        <w:t>2</w:t>
      </w:r>
      <w:r w:rsidRPr="00925E79">
        <w:rPr>
          <w:sz w:val="28"/>
          <w:szCs w:val="28"/>
        </w:rPr>
        <w:t xml:space="preserve"> г.</w:t>
      </w:r>
    </w:p>
    <w:p w:rsidR="002F0800" w:rsidRPr="00E07399" w:rsidRDefault="002F0800" w:rsidP="00F865E1">
      <w:pPr>
        <w:contextualSpacing/>
        <w:jc w:val="right"/>
        <w:rPr>
          <w:color w:val="FF0000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746"/>
        <w:gridCol w:w="4677"/>
      </w:tblGrid>
      <w:tr w:rsidR="00B1428C" w:rsidRPr="00DD72CC" w:rsidTr="00B1428C">
        <w:trPr>
          <w:trHeight w:val="39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24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DD72CC" w:rsidTr="00B1428C">
        <w:trPr>
          <w:trHeight w:val="165"/>
        </w:trPr>
        <w:tc>
          <w:tcPr>
            <w:tcW w:w="75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нормативного правового акта, в отношении которогопроводилась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B1428C" w:rsidRPr="00DD72CC" w:rsidRDefault="00B1428C" w:rsidP="00F865E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Проект </w:t>
            </w:r>
            <w:r w:rsidR="00F865E1" w:rsidRPr="00DD72CC">
              <w:rPr>
                <w:sz w:val="28"/>
                <w:szCs w:val="28"/>
              </w:rPr>
              <w:t>постановления администрации  Советского городского округа Ставропольского края «</w:t>
            </w:r>
            <w:r w:rsidR="00E07399" w:rsidRPr="00451795">
              <w:rPr>
                <w:sz w:val="28"/>
                <w:szCs w:val="28"/>
              </w:rPr>
              <w:t xml:space="preserve">Об утверждении формы </w:t>
            </w:r>
            <w:r w:rsidR="00E07399">
              <w:rPr>
                <w:sz w:val="28"/>
                <w:szCs w:val="28"/>
              </w:rPr>
              <w:t>п</w:t>
            </w:r>
            <w:r w:rsidR="00E07399" w:rsidRPr="00451795">
              <w:rPr>
                <w:sz w:val="28"/>
                <w:szCs w:val="28"/>
                <w:lang w:eastAsia="en-US"/>
              </w:rPr>
              <w:t>роверочн</w:t>
            </w:r>
            <w:r w:rsidR="00E07399">
              <w:rPr>
                <w:sz w:val="28"/>
                <w:szCs w:val="28"/>
                <w:lang w:eastAsia="en-US"/>
              </w:rPr>
              <w:t>ого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лист</w:t>
            </w:r>
            <w:r w:rsidR="00E07399">
              <w:rPr>
                <w:sz w:val="28"/>
                <w:szCs w:val="28"/>
                <w:lang w:eastAsia="en-US"/>
              </w:rPr>
              <w:t>а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(списк</w:t>
            </w:r>
            <w:r w:rsidR="00E07399">
              <w:rPr>
                <w:sz w:val="28"/>
                <w:szCs w:val="28"/>
                <w:lang w:eastAsia="en-US"/>
              </w:rPr>
              <w:t>а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контрольных вопросов),</w:t>
            </w:r>
            <w:r w:rsidR="002F0800">
              <w:rPr>
                <w:sz w:val="28"/>
                <w:szCs w:val="28"/>
                <w:lang w:eastAsia="en-US"/>
              </w:rPr>
              <w:t xml:space="preserve"> </w:t>
            </w:r>
            <w:r w:rsidR="00E07399">
              <w:rPr>
                <w:sz w:val="28"/>
                <w:szCs w:val="28"/>
                <w:lang w:eastAsia="en-US"/>
              </w:rPr>
              <w:t>применяемых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при осуществлении </w:t>
            </w:r>
            <w:r w:rsidR="00E07399">
              <w:rPr>
                <w:sz w:val="28"/>
                <w:szCs w:val="28"/>
                <w:lang w:eastAsia="en-US"/>
              </w:rPr>
      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      </w:r>
            <w:r w:rsidR="00F865E1" w:rsidRPr="00DD72CC">
              <w:rPr>
                <w:sz w:val="28"/>
                <w:szCs w:val="28"/>
              </w:rPr>
              <w:t xml:space="preserve">» </w:t>
            </w:r>
          </w:p>
        </w:tc>
      </w:tr>
      <w:tr w:rsidR="00B1428C" w:rsidRPr="00DD72CC" w:rsidTr="00B1428C">
        <w:trPr>
          <w:trHeight w:val="28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отраслевого (функционального) органа администрации 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Совета </w:t>
            </w:r>
            <w:r w:rsidR="0048259A" w:rsidRPr="00DD72CC">
              <w:rPr>
                <w:sz w:val="28"/>
                <w:szCs w:val="28"/>
              </w:rPr>
              <w:t xml:space="preserve">депутатов </w:t>
            </w:r>
            <w:r w:rsidRPr="00DD72CC">
              <w:rPr>
                <w:sz w:val="28"/>
                <w:szCs w:val="28"/>
              </w:rPr>
              <w:t xml:space="preserve">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DD72CC" w:rsidRDefault="00B1428C" w:rsidP="00433CC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DD72CC" w:rsidTr="00B1428C">
        <w:trPr>
          <w:trHeight w:val="18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B1428C" w:rsidRPr="00DD72CC" w:rsidRDefault="00433CCC" w:rsidP="00DD72C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D72CC">
              <w:rPr>
                <w:sz w:val="28"/>
                <w:szCs w:val="28"/>
              </w:rPr>
              <w:t>Изменени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законодательства Российской Федерации о государственном и муниципальном контроле в связи с</w:t>
            </w:r>
            <w:r w:rsidR="002F0800">
              <w:rPr>
                <w:sz w:val="28"/>
                <w:szCs w:val="28"/>
              </w:rPr>
              <w:t xml:space="preserve"> принятием Федерального закона Р</w:t>
            </w:r>
            <w:r w:rsidRPr="00DD72CC">
              <w:rPr>
                <w:sz w:val="28"/>
                <w:szCs w:val="28"/>
              </w:rPr>
              <w:t xml:space="preserve">оссийской </w:t>
            </w:r>
            <w:r w:rsidRPr="00DD72CC">
              <w:rPr>
                <w:sz w:val="28"/>
                <w:szCs w:val="28"/>
              </w:rPr>
              <w:lastRenderedPageBreak/>
              <w:t xml:space="preserve">Федерации от 31 июля 2020 года № 248-ФЗ «О государственном контроле (надзоре) и муниципальном контроле в Российской Федерации» необходимость </w:t>
            </w:r>
            <w:r w:rsidRPr="00DD72CC">
              <w:rPr>
                <w:bCs/>
                <w:sz w:val="28"/>
                <w:szCs w:val="28"/>
              </w:rPr>
              <w:t xml:space="preserve">установления правового регулирования деятельности администрации Советского </w:t>
            </w:r>
            <w:r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bCs/>
                <w:sz w:val="28"/>
                <w:szCs w:val="28"/>
              </w:rPr>
              <w:t xml:space="preserve">Ставропольского края </w:t>
            </w:r>
            <w:r w:rsidRPr="00DD72CC">
              <w:rPr>
                <w:sz w:val="28"/>
                <w:szCs w:val="28"/>
              </w:rPr>
              <w:t xml:space="preserve">по </w:t>
            </w:r>
            <w:r w:rsidR="00E07399">
              <w:rPr>
                <w:sz w:val="28"/>
                <w:szCs w:val="28"/>
              </w:rPr>
              <w:t xml:space="preserve"> утверждению</w:t>
            </w:r>
            <w:r w:rsidR="00E07399" w:rsidRPr="00451795">
              <w:rPr>
                <w:sz w:val="28"/>
                <w:szCs w:val="28"/>
              </w:rPr>
              <w:t xml:space="preserve"> формы </w:t>
            </w:r>
            <w:r w:rsidR="00E07399">
              <w:rPr>
                <w:sz w:val="28"/>
                <w:szCs w:val="28"/>
              </w:rPr>
              <w:t>п</w:t>
            </w:r>
            <w:r w:rsidR="00E07399" w:rsidRPr="00451795">
              <w:rPr>
                <w:sz w:val="28"/>
                <w:szCs w:val="28"/>
                <w:lang w:eastAsia="en-US"/>
              </w:rPr>
              <w:t>роверочн</w:t>
            </w:r>
            <w:r w:rsidR="00E07399">
              <w:rPr>
                <w:sz w:val="28"/>
                <w:szCs w:val="28"/>
                <w:lang w:eastAsia="en-US"/>
              </w:rPr>
              <w:t>ого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лист</w:t>
            </w:r>
            <w:r w:rsidR="00E07399">
              <w:rPr>
                <w:sz w:val="28"/>
                <w:szCs w:val="28"/>
                <w:lang w:eastAsia="en-US"/>
              </w:rPr>
              <w:t>а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(списк</w:t>
            </w:r>
            <w:r w:rsidR="00E07399">
              <w:rPr>
                <w:sz w:val="28"/>
                <w:szCs w:val="28"/>
                <w:lang w:eastAsia="en-US"/>
              </w:rPr>
              <w:t>а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контрольных вопросов),</w:t>
            </w:r>
            <w:r w:rsidR="002F0800">
              <w:rPr>
                <w:sz w:val="28"/>
                <w:szCs w:val="28"/>
                <w:lang w:eastAsia="en-US"/>
              </w:rPr>
              <w:t xml:space="preserve"> </w:t>
            </w:r>
            <w:r w:rsidR="00E07399">
              <w:rPr>
                <w:sz w:val="28"/>
                <w:szCs w:val="28"/>
                <w:lang w:eastAsia="en-US"/>
              </w:rPr>
              <w:t>применяемых</w:t>
            </w:r>
            <w:r w:rsidR="00E07399" w:rsidRPr="00451795">
              <w:rPr>
                <w:sz w:val="28"/>
                <w:szCs w:val="28"/>
                <w:lang w:eastAsia="en-US"/>
              </w:rPr>
              <w:t xml:space="preserve"> при осуществлении </w:t>
            </w:r>
            <w:r w:rsidR="00E07399">
              <w:rPr>
                <w:sz w:val="28"/>
                <w:szCs w:val="28"/>
                <w:lang w:eastAsia="en-US"/>
              </w:rPr>
              <w:t>муниципального контроля на автомобильном транспорте</w:t>
            </w:r>
            <w:proofErr w:type="gramEnd"/>
            <w:r w:rsidR="00E07399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E07399">
              <w:rPr>
                <w:sz w:val="28"/>
                <w:szCs w:val="28"/>
                <w:lang w:eastAsia="en-US"/>
              </w:rPr>
              <w:t>городском, наземном, электрическом транспорте и в дорожном хозяйстве в границах Советского городского округа Ставропольского края</w:t>
            </w:r>
            <w:r w:rsidRPr="00DD72CC">
              <w:rPr>
                <w:sz w:val="28"/>
                <w:szCs w:val="28"/>
              </w:rPr>
              <w:t xml:space="preserve">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      </w:r>
            <w:proofErr w:type="gramEnd"/>
          </w:p>
        </w:tc>
      </w:tr>
      <w:tr w:rsidR="00B1428C" w:rsidRPr="00DD72CC" w:rsidTr="00B1428C">
        <w:trPr>
          <w:trHeight w:val="30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18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B1428C" w:rsidRPr="00DD72CC" w:rsidRDefault="00925E79" w:rsidP="002F080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33CCC" w:rsidRPr="00DD72CC">
              <w:rPr>
                <w:sz w:val="28"/>
                <w:szCs w:val="28"/>
              </w:rPr>
              <w:t>существлени</w:t>
            </w:r>
            <w:r w:rsidR="002F0800">
              <w:rPr>
                <w:sz w:val="28"/>
                <w:szCs w:val="28"/>
              </w:rPr>
              <w:t>е</w:t>
            </w:r>
            <w:r w:rsidR="00433CCC" w:rsidRPr="00DD72CC">
              <w:rPr>
                <w:sz w:val="28"/>
                <w:szCs w:val="28"/>
              </w:rPr>
              <w:t xml:space="preserve">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      </w:r>
          </w:p>
        </w:tc>
      </w:tr>
      <w:tr w:rsidR="00B1428C" w:rsidRPr="00DD72CC" w:rsidTr="00B1428C">
        <w:trPr>
          <w:trHeight w:val="28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края, Совета 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1428C" w:rsidRPr="00DD72CC" w:rsidRDefault="0016136E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вводятся </w:t>
            </w: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lastRenderedPageBreak/>
              <w:t xml:space="preserve">   7.</w:t>
            </w: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1428C" w:rsidRPr="00DD72CC" w:rsidTr="00B1428C">
        <w:trPr>
          <w:trHeight w:val="13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33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B1428C" w:rsidRPr="00925E79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925E79">
              <w:rPr>
                <w:sz w:val="28"/>
                <w:szCs w:val="28"/>
              </w:rPr>
              <w:t xml:space="preserve">Уведомление размещено </w:t>
            </w:r>
            <w:r w:rsidR="00433CCC" w:rsidRPr="00925E79">
              <w:rPr>
                <w:sz w:val="28"/>
                <w:szCs w:val="28"/>
              </w:rPr>
              <w:t>17</w:t>
            </w:r>
            <w:r w:rsidRPr="00925E79">
              <w:rPr>
                <w:sz w:val="28"/>
                <w:szCs w:val="28"/>
              </w:rPr>
              <w:t>.</w:t>
            </w:r>
            <w:r w:rsidR="00F865E1" w:rsidRPr="00925E79">
              <w:rPr>
                <w:sz w:val="28"/>
                <w:szCs w:val="28"/>
              </w:rPr>
              <w:t>0</w:t>
            </w:r>
            <w:r w:rsidR="00433CCC" w:rsidRPr="00925E79">
              <w:rPr>
                <w:sz w:val="28"/>
                <w:szCs w:val="28"/>
              </w:rPr>
              <w:t>1</w:t>
            </w:r>
            <w:r w:rsidRPr="00925E79">
              <w:rPr>
                <w:sz w:val="28"/>
                <w:szCs w:val="28"/>
              </w:rPr>
              <w:t>.20</w:t>
            </w:r>
            <w:r w:rsidR="0048259A" w:rsidRPr="00925E79">
              <w:rPr>
                <w:sz w:val="28"/>
                <w:szCs w:val="28"/>
              </w:rPr>
              <w:t>2</w:t>
            </w:r>
            <w:r w:rsidR="00433CCC" w:rsidRPr="00925E79">
              <w:rPr>
                <w:sz w:val="28"/>
                <w:szCs w:val="28"/>
              </w:rPr>
              <w:t>2</w:t>
            </w:r>
            <w:r w:rsidRPr="00925E79">
              <w:rPr>
                <w:sz w:val="28"/>
                <w:szCs w:val="28"/>
              </w:rPr>
              <w:t xml:space="preserve"> г., предложения принимались: </w:t>
            </w:r>
            <w:r w:rsidR="00C57736" w:rsidRPr="00925E79">
              <w:rPr>
                <w:sz w:val="28"/>
                <w:szCs w:val="28"/>
              </w:rPr>
              <w:t xml:space="preserve">с </w:t>
            </w:r>
            <w:r w:rsidR="00433CCC" w:rsidRPr="00925E79">
              <w:rPr>
                <w:sz w:val="28"/>
                <w:szCs w:val="28"/>
              </w:rPr>
              <w:t>17</w:t>
            </w:r>
            <w:r w:rsidR="002F0800" w:rsidRPr="00925E79">
              <w:rPr>
                <w:sz w:val="28"/>
                <w:szCs w:val="28"/>
              </w:rPr>
              <w:t xml:space="preserve"> </w:t>
            </w:r>
            <w:r w:rsidR="00433CCC" w:rsidRPr="00925E79">
              <w:rPr>
                <w:sz w:val="28"/>
                <w:szCs w:val="28"/>
              </w:rPr>
              <w:t>янва</w:t>
            </w:r>
            <w:r w:rsidR="00F865E1" w:rsidRPr="00925E79">
              <w:rPr>
                <w:sz w:val="28"/>
                <w:szCs w:val="28"/>
              </w:rPr>
              <w:t>ря</w:t>
            </w:r>
            <w:r w:rsidR="00C57736" w:rsidRPr="00925E79">
              <w:rPr>
                <w:sz w:val="28"/>
                <w:szCs w:val="28"/>
              </w:rPr>
              <w:t xml:space="preserve"> 20</w:t>
            </w:r>
            <w:r w:rsidR="0048259A" w:rsidRPr="00925E79">
              <w:rPr>
                <w:sz w:val="28"/>
                <w:szCs w:val="28"/>
              </w:rPr>
              <w:t>2</w:t>
            </w:r>
            <w:r w:rsidR="00433CCC" w:rsidRPr="00925E79">
              <w:rPr>
                <w:sz w:val="28"/>
                <w:szCs w:val="28"/>
              </w:rPr>
              <w:t>2</w:t>
            </w:r>
            <w:r w:rsidR="00C57736" w:rsidRPr="00925E79">
              <w:rPr>
                <w:sz w:val="28"/>
                <w:szCs w:val="28"/>
              </w:rPr>
              <w:t xml:space="preserve"> г.; по: </w:t>
            </w:r>
            <w:r w:rsidR="00F865E1" w:rsidRPr="00925E79">
              <w:rPr>
                <w:sz w:val="28"/>
                <w:szCs w:val="28"/>
              </w:rPr>
              <w:t>3</w:t>
            </w:r>
            <w:r w:rsidR="00433CCC" w:rsidRPr="00925E79">
              <w:rPr>
                <w:sz w:val="28"/>
                <w:szCs w:val="28"/>
              </w:rPr>
              <w:t>1янва</w:t>
            </w:r>
            <w:r w:rsidR="00F865E1" w:rsidRPr="00925E79">
              <w:rPr>
                <w:sz w:val="28"/>
                <w:szCs w:val="28"/>
              </w:rPr>
              <w:t>ря</w:t>
            </w:r>
            <w:r w:rsidR="00C57736" w:rsidRPr="00925E79">
              <w:rPr>
                <w:sz w:val="28"/>
                <w:szCs w:val="28"/>
              </w:rPr>
              <w:t xml:space="preserve"> 20</w:t>
            </w:r>
            <w:r w:rsidR="0048259A" w:rsidRPr="00925E79">
              <w:rPr>
                <w:sz w:val="28"/>
                <w:szCs w:val="28"/>
              </w:rPr>
              <w:t>2</w:t>
            </w:r>
            <w:r w:rsidR="00433CCC" w:rsidRPr="00925E79">
              <w:rPr>
                <w:sz w:val="28"/>
                <w:szCs w:val="28"/>
              </w:rPr>
              <w:t>2</w:t>
            </w:r>
            <w:r w:rsidR="00C57736" w:rsidRPr="00925E79">
              <w:rPr>
                <w:sz w:val="28"/>
                <w:szCs w:val="28"/>
              </w:rPr>
              <w:t xml:space="preserve"> г.</w:t>
            </w:r>
          </w:p>
          <w:p w:rsidR="009B094A" w:rsidRPr="00925E79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925E79">
              <w:rPr>
                <w:sz w:val="28"/>
                <w:szCs w:val="28"/>
              </w:rPr>
              <w:t>Извещения направлены: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Отдел экономического развития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городского хозяйства администрации Советского городского округа Ставропольского края; 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Территориальные отделы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Индивидуальны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предпринимател</w:t>
            </w:r>
            <w:r w:rsidR="00DD72CC">
              <w:rPr>
                <w:sz w:val="28"/>
                <w:szCs w:val="28"/>
              </w:rPr>
              <w:t>и</w:t>
            </w:r>
            <w:r w:rsidRPr="00DD72CC">
              <w:rPr>
                <w:sz w:val="28"/>
                <w:szCs w:val="28"/>
              </w:rPr>
              <w:t xml:space="preserve"> Советского района (посредством размещения на </w:t>
            </w:r>
            <w:proofErr w:type="gramStart"/>
            <w:r w:rsidRPr="00DD72CC">
              <w:rPr>
                <w:sz w:val="28"/>
                <w:szCs w:val="28"/>
              </w:rPr>
              <w:t>официальном</w:t>
            </w:r>
            <w:proofErr w:type="gramEnd"/>
            <w:r w:rsidRPr="00DD72CC">
              <w:rPr>
                <w:sz w:val="28"/>
                <w:szCs w:val="28"/>
              </w:rPr>
              <w:t xml:space="preserve"> Интернет-Портале Советского городского округа Ставропольского края)</w:t>
            </w:r>
          </w:p>
          <w:p w:rsidR="00B1428C" w:rsidRPr="00DD72CC" w:rsidRDefault="00B1428C" w:rsidP="00F865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555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проведении публичных консультаций по проекту нормативного правового акта, сроках проведения таких публичных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A466C" w:rsidRPr="00DD72CC" w:rsidRDefault="009B094A" w:rsidP="0048259A">
            <w:pPr>
              <w:pStyle w:val="ConsPlusNonformat"/>
              <w:contextualSpacing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размещено </w:t>
            </w:r>
            <w:r w:rsidR="00ED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 </w:t>
            </w:r>
            <w:r w:rsidR="00F865E1" w:rsidRPr="00DD7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D4B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bookmarkStart w:id="0" w:name="_GoBack"/>
            <w:bookmarkEnd w:id="0"/>
            <w:r w:rsidR="002F08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094A" w:rsidRPr="00DD72CC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lastRenderedPageBreak/>
              <w:t>Извещения направлены: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Отдел экономического развития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городского хозяйства администрации Советского городского округа Ставропольского края; 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Территориальные отделы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Индивидуальны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предпринимател</w:t>
            </w:r>
            <w:r w:rsidR="00DD72CC">
              <w:rPr>
                <w:sz w:val="28"/>
                <w:szCs w:val="28"/>
              </w:rPr>
              <w:t>и</w:t>
            </w:r>
            <w:r w:rsidRPr="00DD72CC">
              <w:rPr>
                <w:sz w:val="28"/>
                <w:szCs w:val="28"/>
              </w:rPr>
              <w:t xml:space="preserve"> Советского района (посредством размещения на </w:t>
            </w:r>
            <w:proofErr w:type="gramStart"/>
            <w:r w:rsidRPr="00DD72CC">
              <w:rPr>
                <w:sz w:val="28"/>
                <w:szCs w:val="28"/>
              </w:rPr>
              <w:t>официальном</w:t>
            </w:r>
            <w:proofErr w:type="gramEnd"/>
            <w:r w:rsidRPr="00DD72CC">
              <w:rPr>
                <w:sz w:val="28"/>
                <w:szCs w:val="28"/>
              </w:rPr>
              <w:t xml:space="preserve"> Интернет-Портале Советского городского округа Ставропольского края)</w:t>
            </w:r>
          </w:p>
          <w:p w:rsidR="00B1428C" w:rsidRPr="00DD72CC" w:rsidRDefault="00B1428C" w:rsidP="00F865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2F0800" w:rsidRPr="005E5CA1" w:rsidRDefault="002F0800" w:rsidP="002F0800">
            <w:pPr>
              <w:pStyle w:val="a3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CA1">
              <w:rPr>
                <w:rFonts w:ascii="Times New Roman" w:hAnsi="Times New Roman" w:cs="Times New Roman"/>
                <w:sz w:val="28"/>
                <w:szCs w:val="28"/>
              </w:rPr>
              <w:t>с 1 марта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ранее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даты </w:t>
            </w:r>
            <w:r w:rsidRPr="005E5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официального обнародования в форме размещения в сетевом издании – сайте муниципальных правовых актов </w:t>
            </w:r>
            <w:r w:rsidRPr="005E5CA1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 Ставропольского края.</w:t>
            </w:r>
          </w:p>
          <w:p w:rsidR="00BA466C" w:rsidRPr="00DD72CC" w:rsidRDefault="00BA466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1068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  13.</w:t>
            </w:r>
          </w:p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1428C" w:rsidRPr="00DD72CC" w:rsidRDefault="009B094A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DD72C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28C" w:rsidRPr="00DD72CC" w:rsidRDefault="00B1428C" w:rsidP="00DD72C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Начальник отдела градостроительства,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транспорта и муниципального хозяйства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администрации </w:t>
      </w:r>
      <w:proofErr w:type="gramStart"/>
      <w:r w:rsidRPr="00DD72CC">
        <w:rPr>
          <w:sz w:val="28"/>
          <w:szCs w:val="28"/>
        </w:rPr>
        <w:t>Советского</w:t>
      </w:r>
      <w:proofErr w:type="gramEnd"/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>городского округа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DD72CC">
        <w:rPr>
          <w:sz w:val="28"/>
          <w:szCs w:val="28"/>
        </w:rPr>
        <w:t>В.В.Киянов</w:t>
      </w:r>
      <w:proofErr w:type="spellEnd"/>
    </w:p>
    <w:p w:rsidR="009B094A" w:rsidRPr="00DD72CC" w:rsidRDefault="009B094A" w:rsidP="00DD72C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DD72CC" w:rsidRDefault="009B094A" w:rsidP="00DD72C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DD72CC" w:rsidRDefault="00433CCC" w:rsidP="00DD72CC">
      <w:pPr>
        <w:autoSpaceDE w:val="0"/>
        <w:autoSpaceDN w:val="0"/>
        <w:adjustRightInd w:val="0"/>
        <w:spacing w:line="240" w:lineRule="exact"/>
        <w:contextualSpacing/>
        <w:jc w:val="both"/>
      </w:pPr>
      <w:proofErr w:type="spellStart"/>
      <w:r w:rsidRPr="00DD72CC">
        <w:t>Голосной</w:t>
      </w:r>
      <w:proofErr w:type="spellEnd"/>
      <w:r w:rsidRPr="00DD72CC">
        <w:t xml:space="preserve"> Н.Г.</w:t>
      </w:r>
      <w:r w:rsidR="00DD72CC">
        <w:t xml:space="preserve">, </w:t>
      </w:r>
      <w:r w:rsidR="009B094A" w:rsidRPr="00DD72CC">
        <w:t>(8865-52) 6-1</w:t>
      </w:r>
      <w:r w:rsidRPr="00DD72CC">
        <w:t>7</w:t>
      </w:r>
      <w:r w:rsidR="009B094A" w:rsidRPr="00DD72CC">
        <w:t>-</w:t>
      </w:r>
      <w:r w:rsidRPr="00DD72CC">
        <w:t>79</w:t>
      </w:r>
    </w:p>
    <w:sectPr w:rsidR="009B094A" w:rsidRPr="00DD72CC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28C"/>
    <w:rsid w:val="000214F3"/>
    <w:rsid w:val="0016136E"/>
    <w:rsid w:val="00272CC6"/>
    <w:rsid w:val="00292C3B"/>
    <w:rsid w:val="002F0800"/>
    <w:rsid w:val="00373DF9"/>
    <w:rsid w:val="00414362"/>
    <w:rsid w:val="00433CCC"/>
    <w:rsid w:val="0048259A"/>
    <w:rsid w:val="004D3DEE"/>
    <w:rsid w:val="00693458"/>
    <w:rsid w:val="0074387E"/>
    <w:rsid w:val="00791C2C"/>
    <w:rsid w:val="008A0988"/>
    <w:rsid w:val="0091047F"/>
    <w:rsid w:val="00925E79"/>
    <w:rsid w:val="009B094A"/>
    <w:rsid w:val="00AF2107"/>
    <w:rsid w:val="00B1428C"/>
    <w:rsid w:val="00B85838"/>
    <w:rsid w:val="00BA466C"/>
    <w:rsid w:val="00C12080"/>
    <w:rsid w:val="00C16CCC"/>
    <w:rsid w:val="00C57736"/>
    <w:rsid w:val="00C60304"/>
    <w:rsid w:val="00D369F6"/>
    <w:rsid w:val="00DC637D"/>
    <w:rsid w:val="00DD72CC"/>
    <w:rsid w:val="00E07399"/>
    <w:rsid w:val="00ED4B83"/>
    <w:rsid w:val="00EE6A75"/>
    <w:rsid w:val="00F865E1"/>
    <w:rsid w:val="00F9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4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customStyle="1" w:styleId="ConsPlusNormal">
    <w:name w:val="ConsPlusNormal"/>
    <w:rsid w:val="0048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2F0800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2F0800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Носоченко</dc:creator>
  <cp:lastModifiedBy>Носоченко</cp:lastModifiedBy>
  <cp:revision>16</cp:revision>
  <dcterms:created xsi:type="dcterms:W3CDTF">2016-06-01T06:48:00Z</dcterms:created>
  <dcterms:modified xsi:type="dcterms:W3CDTF">2022-02-25T13:45:00Z</dcterms:modified>
</cp:coreProperties>
</file>